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A1D" w:rsidRPr="006F1A1D" w:rsidRDefault="00944D44" w:rsidP="006F1A1D">
      <w:pPr>
        <w:spacing w:line="300" w:lineRule="exact"/>
        <w:jc w:val="center"/>
        <w:rPr>
          <w:b/>
          <w:sz w:val="28"/>
          <w:szCs w:val="28"/>
        </w:rPr>
      </w:pPr>
      <w:r w:rsidRPr="00D212AE">
        <w:rPr>
          <w:b/>
          <w:sz w:val="28"/>
          <w:szCs w:val="28"/>
        </w:rPr>
        <w:t xml:space="preserve">Управление по недропользованию по Республике Саха (Якутия) (Якутнедра) объявляет аукцион </w:t>
      </w:r>
      <w:r w:rsidR="006F1A1D" w:rsidRPr="006F1A1D">
        <w:rPr>
          <w:b/>
          <w:sz w:val="28"/>
          <w:szCs w:val="28"/>
        </w:rPr>
        <w:t>на право пользования участком недр</w:t>
      </w:r>
    </w:p>
    <w:p w:rsidR="00944D44" w:rsidRPr="007851DF" w:rsidRDefault="009D691A" w:rsidP="006F1A1D">
      <w:pPr>
        <w:spacing w:line="300" w:lineRule="exact"/>
        <w:jc w:val="center"/>
        <w:rPr>
          <w:b/>
          <w:sz w:val="28"/>
          <w:szCs w:val="28"/>
        </w:rPr>
      </w:pPr>
      <w:proofErr w:type="spellStart"/>
      <w:r w:rsidRPr="009D691A">
        <w:rPr>
          <w:b/>
          <w:sz w:val="28"/>
          <w:szCs w:val="28"/>
        </w:rPr>
        <w:t>руч</w:t>
      </w:r>
      <w:proofErr w:type="spellEnd"/>
      <w:r w:rsidRPr="009D691A">
        <w:rPr>
          <w:b/>
          <w:sz w:val="28"/>
          <w:szCs w:val="28"/>
        </w:rPr>
        <w:t xml:space="preserve">. </w:t>
      </w:r>
      <w:proofErr w:type="spellStart"/>
      <w:r w:rsidRPr="009D691A">
        <w:rPr>
          <w:b/>
          <w:sz w:val="28"/>
          <w:szCs w:val="28"/>
        </w:rPr>
        <w:t>Туогучан</w:t>
      </w:r>
      <w:proofErr w:type="spellEnd"/>
      <w:r w:rsidRPr="009D691A">
        <w:rPr>
          <w:b/>
          <w:sz w:val="28"/>
          <w:szCs w:val="28"/>
        </w:rPr>
        <w:t>, левый приток р. Яна расположенным на территории МО «</w:t>
      </w:r>
      <w:proofErr w:type="spellStart"/>
      <w:r w:rsidRPr="009D691A">
        <w:rPr>
          <w:b/>
          <w:sz w:val="28"/>
          <w:szCs w:val="28"/>
        </w:rPr>
        <w:t>Усть</w:t>
      </w:r>
      <w:proofErr w:type="spellEnd"/>
      <w:r w:rsidRPr="009D691A">
        <w:rPr>
          <w:b/>
          <w:sz w:val="28"/>
          <w:szCs w:val="28"/>
        </w:rPr>
        <w:t>-Янский улус (район)»</w:t>
      </w:r>
      <w:r>
        <w:rPr>
          <w:b/>
          <w:sz w:val="28"/>
          <w:szCs w:val="28"/>
        </w:rPr>
        <w:t xml:space="preserve"> </w:t>
      </w:r>
      <w:r w:rsidR="00D31E86" w:rsidRPr="00D31E86">
        <w:rPr>
          <w:b/>
          <w:sz w:val="28"/>
          <w:szCs w:val="28"/>
        </w:rPr>
        <w:t xml:space="preserve">Республики Саха (Якутия), для разведки и добычи полезных ископаемых </w:t>
      </w:r>
      <w:r w:rsidR="00944D44" w:rsidRPr="00D212AE">
        <w:rPr>
          <w:b/>
          <w:sz w:val="28"/>
          <w:szCs w:val="28"/>
        </w:rPr>
        <w:t>(приказ Якутнедра</w:t>
      </w:r>
      <w:r w:rsidR="006A4DDA">
        <w:rPr>
          <w:b/>
          <w:sz w:val="28"/>
          <w:szCs w:val="28"/>
        </w:rPr>
        <w:t xml:space="preserve"> </w:t>
      </w:r>
      <w:r w:rsidR="00944D44" w:rsidRPr="00EC6556">
        <w:rPr>
          <w:b/>
          <w:sz w:val="28"/>
          <w:szCs w:val="28"/>
        </w:rPr>
        <w:t xml:space="preserve">от </w:t>
      </w:r>
      <w:r w:rsidR="006F1A1D">
        <w:rPr>
          <w:b/>
          <w:sz w:val="28"/>
          <w:szCs w:val="28"/>
        </w:rPr>
        <w:t>0</w:t>
      </w:r>
      <w:r w:rsidR="00D31E86">
        <w:rPr>
          <w:b/>
          <w:sz w:val="28"/>
          <w:szCs w:val="28"/>
        </w:rPr>
        <w:t>7</w:t>
      </w:r>
      <w:r w:rsidR="006F1A1D">
        <w:rPr>
          <w:b/>
          <w:sz w:val="28"/>
          <w:szCs w:val="28"/>
        </w:rPr>
        <w:t xml:space="preserve"> августа</w:t>
      </w:r>
      <w:r w:rsidR="006339B3">
        <w:rPr>
          <w:b/>
          <w:sz w:val="28"/>
          <w:szCs w:val="28"/>
        </w:rPr>
        <w:t xml:space="preserve"> </w:t>
      </w:r>
      <w:r w:rsidR="00055160" w:rsidRPr="007851DF">
        <w:rPr>
          <w:b/>
          <w:sz w:val="28"/>
          <w:szCs w:val="28"/>
        </w:rPr>
        <w:t>202</w:t>
      </w:r>
      <w:r w:rsidR="00494786">
        <w:rPr>
          <w:b/>
          <w:sz w:val="28"/>
          <w:szCs w:val="28"/>
        </w:rPr>
        <w:t>5</w:t>
      </w:r>
      <w:r w:rsidR="00944D44" w:rsidRPr="007851DF">
        <w:rPr>
          <w:b/>
          <w:sz w:val="28"/>
          <w:szCs w:val="28"/>
        </w:rPr>
        <w:t xml:space="preserve"> г. №</w:t>
      </w:r>
      <w:r w:rsidR="00494786">
        <w:rPr>
          <w:b/>
          <w:sz w:val="28"/>
          <w:szCs w:val="28"/>
        </w:rPr>
        <w:t>ЯКУ/1</w:t>
      </w:r>
      <w:r w:rsidR="00784ADB">
        <w:rPr>
          <w:b/>
          <w:sz w:val="28"/>
          <w:szCs w:val="28"/>
        </w:rPr>
        <w:t>1</w:t>
      </w:r>
      <w:r>
        <w:rPr>
          <w:b/>
          <w:sz w:val="28"/>
          <w:szCs w:val="28"/>
        </w:rPr>
        <w:t>2</w:t>
      </w:r>
      <w:r w:rsidR="0083021C">
        <w:rPr>
          <w:b/>
          <w:sz w:val="28"/>
          <w:szCs w:val="28"/>
        </w:rPr>
        <w:t>)</w:t>
      </w:r>
    </w:p>
    <w:p w:rsidR="003E5F49" w:rsidRPr="007851DF" w:rsidRDefault="003E5F49" w:rsidP="003E5F49">
      <w:pPr>
        <w:spacing w:before="60" w:line="240" w:lineRule="auto"/>
        <w:ind w:firstLine="0"/>
        <w:rPr>
          <w:sz w:val="28"/>
          <w:szCs w:val="28"/>
        </w:rPr>
      </w:pPr>
    </w:p>
    <w:p w:rsidR="003E5F49" w:rsidRDefault="006F1A1D" w:rsidP="003E5F49">
      <w:pPr>
        <w:spacing w:before="60" w:line="240" w:lineRule="auto"/>
        <w:ind w:firstLine="0"/>
        <w:rPr>
          <w:sz w:val="28"/>
          <w:szCs w:val="28"/>
        </w:rPr>
      </w:pPr>
      <w:r>
        <w:rPr>
          <w:sz w:val="28"/>
          <w:szCs w:val="28"/>
        </w:rPr>
        <w:t>08</w:t>
      </w:r>
      <w:r w:rsidR="008267B1" w:rsidRPr="008267B1">
        <w:rPr>
          <w:sz w:val="28"/>
          <w:szCs w:val="28"/>
        </w:rPr>
        <w:t xml:space="preserve"> </w:t>
      </w:r>
      <w:r>
        <w:rPr>
          <w:sz w:val="28"/>
          <w:szCs w:val="28"/>
        </w:rPr>
        <w:t>августа</w:t>
      </w:r>
      <w:r w:rsidR="008267B1" w:rsidRPr="008267B1">
        <w:rPr>
          <w:sz w:val="28"/>
          <w:szCs w:val="28"/>
        </w:rPr>
        <w:t xml:space="preserve"> 202</w:t>
      </w:r>
      <w:r w:rsidR="00494786">
        <w:rPr>
          <w:sz w:val="28"/>
          <w:szCs w:val="28"/>
        </w:rPr>
        <w:t>5</w:t>
      </w:r>
      <w:r w:rsidR="008267B1" w:rsidRPr="008267B1">
        <w:rPr>
          <w:sz w:val="28"/>
          <w:szCs w:val="28"/>
        </w:rPr>
        <w:t xml:space="preserve"> г.</w:t>
      </w:r>
    </w:p>
    <w:p w:rsidR="003E5F49" w:rsidRDefault="003E5F49" w:rsidP="003E5F49">
      <w:pPr>
        <w:spacing w:before="60" w:line="240" w:lineRule="auto"/>
        <w:ind w:firstLine="0"/>
        <w:rPr>
          <w:sz w:val="28"/>
          <w:szCs w:val="28"/>
        </w:rPr>
      </w:pPr>
    </w:p>
    <w:p w:rsidR="003E5F49" w:rsidRDefault="003E5F49" w:rsidP="0033076A">
      <w:pPr>
        <w:spacing w:before="60" w:line="240" w:lineRule="auto"/>
        <w:ind w:firstLine="567"/>
        <w:rPr>
          <w:noProof/>
          <w:sz w:val="28"/>
          <w:szCs w:val="28"/>
        </w:rPr>
      </w:pPr>
      <w:r w:rsidRPr="000625B1">
        <w:rPr>
          <w:noProof/>
          <w:sz w:val="28"/>
          <w:szCs w:val="28"/>
        </w:rPr>
        <w:t xml:space="preserve">Победителю аукциона будет предоставлено право </w:t>
      </w:r>
      <w:r w:rsidR="00DA2426" w:rsidRPr="00DA2426">
        <w:rPr>
          <w:rFonts w:eastAsia="Calibri"/>
          <w:sz w:val="28"/>
          <w:szCs w:val="28"/>
          <w:lang w:eastAsia="en-US"/>
        </w:rPr>
        <w:t xml:space="preserve">пользования участком недр </w:t>
      </w:r>
      <w:proofErr w:type="spellStart"/>
      <w:r w:rsidR="009D691A" w:rsidRPr="009D691A">
        <w:rPr>
          <w:rFonts w:eastAsia="Calibri"/>
          <w:sz w:val="28"/>
          <w:szCs w:val="28"/>
          <w:lang w:eastAsia="en-US"/>
        </w:rPr>
        <w:t>руч</w:t>
      </w:r>
      <w:proofErr w:type="spellEnd"/>
      <w:r w:rsidR="009D691A" w:rsidRPr="009D691A">
        <w:rPr>
          <w:rFonts w:eastAsia="Calibri"/>
          <w:sz w:val="28"/>
          <w:szCs w:val="28"/>
          <w:lang w:eastAsia="en-US"/>
        </w:rPr>
        <w:t xml:space="preserve">. </w:t>
      </w:r>
      <w:proofErr w:type="spellStart"/>
      <w:r w:rsidR="009D691A" w:rsidRPr="009D691A">
        <w:rPr>
          <w:rFonts w:eastAsia="Calibri"/>
          <w:sz w:val="28"/>
          <w:szCs w:val="28"/>
          <w:lang w:eastAsia="en-US"/>
        </w:rPr>
        <w:t>Туогучан</w:t>
      </w:r>
      <w:proofErr w:type="spellEnd"/>
      <w:r w:rsidR="009D691A" w:rsidRPr="009D691A">
        <w:rPr>
          <w:rFonts w:eastAsia="Calibri"/>
          <w:sz w:val="28"/>
          <w:szCs w:val="28"/>
          <w:lang w:eastAsia="en-US"/>
        </w:rPr>
        <w:t>, левый приток р. Яна расположенным на территории МО «</w:t>
      </w:r>
      <w:proofErr w:type="spellStart"/>
      <w:r w:rsidR="009D691A" w:rsidRPr="009D691A">
        <w:rPr>
          <w:rFonts w:eastAsia="Calibri"/>
          <w:sz w:val="28"/>
          <w:szCs w:val="28"/>
          <w:lang w:eastAsia="en-US"/>
        </w:rPr>
        <w:t>Усть</w:t>
      </w:r>
      <w:proofErr w:type="spellEnd"/>
      <w:r w:rsidR="009D691A" w:rsidRPr="009D691A">
        <w:rPr>
          <w:rFonts w:eastAsia="Calibri"/>
          <w:sz w:val="28"/>
          <w:szCs w:val="28"/>
          <w:lang w:eastAsia="en-US"/>
        </w:rPr>
        <w:t>-Янский улус (район)»</w:t>
      </w:r>
      <w:r w:rsidR="00D31E86" w:rsidRPr="00D31E86">
        <w:rPr>
          <w:rFonts w:eastAsia="Calibri"/>
          <w:sz w:val="28"/>
          <w:szCs w:val="28"/>
          <w:lang w:eastAsia="en-US"/>
        </w:rPr>
        <w:t xml:space="preserve"> Республики Саха (Якутия), для разведки и добычи полезных ископаемых</w:t>
      </w:r>
      <w:r w:rsidR="004B16FB">
        <w:rPr>
          <w:sz w:val="28"/>
          <w:szCs w:val="28"/>
        </w:rPr>
        <w:t xml:space="preserve">, </w:t>
      </w:r>
      <w:r w:rsidRPr="000625B1">
        <w:rPr>
          <w:noProof/>
          <w:sz w:val="28"/>
          <w:szCs w:val="28"/>
        </w:rPr>
        <w:t xml:space="preserve">сроком на </w:t>
      </w:r>
      <w:r w:rsidR="00D31E86">
        <w:rPr>
          <w:noProof/>
          <w:sz w:val="28"/>
          <w:szCs w:val="28"/>
        </w:rPr>
        <w:t>6</w:t>
      </w:r>
      <w:r w:rsidR="00896E12">
        <w:rPr>
          <w:noProof/>
          <w:sz w:val="28"/>
          <w:szCs w:val="28"/>
        </w:rPr>
        <w:t xml:space="preserve"> </w:t>
      </w:r>
      <w:r w:rsidRPr="00AB155F">
        <w:rPr>
          <w:noProof/>
          <w:sz w:val="28"/>
          <w:szCs w:val="28"/>
        </w:rPr>
        <w:t>лет</w:t>
      </w:r>
      <w:r w:rsidRPr="000625B1">
        <w:rPr>
          <w:noProof/>
          <w:sz w:val="28"/>
          <w:szCs w:val="28"/>
        </w:rPr>
        <w:t xml:space="preserve"> путем оформления и выдачи лицензии на пользование </w:t>
      </w:r>
      <w:r w:rsidR="00BC508E">
        <w:rPr>
          <w:noProof/>
          <w:sz w:val="28"/>
          <w:szCs w:val="28"/>
        </w:rPr>
        <w:t>н</w:t>
      </w:r>
      <w:r w:rsidRPr="000625B1">
        <w:rPr>
          <w:noProof/>
          <w:sz w:val="28"/>
          <w:szCs w:val="28"/>
        </w:rPr>
        <w:t>едрами.</w:t>
      </w:r>
    </w:p>
    <w:p w:rsidR="00493754" w:rsidRPr="00493754" w:rsidRDefault="00493754" w:rsidP="0033076A">
      <w:pPr>
        <w:pStyle w:val="3"/>
        <w:spacing w:before="60" w:after="0" w:line="240" w:lineRule="auto"/>
        <w:ind w:left="0" w:firstLine="567"/>
        <w:rPr>
          <w:b/>
          <w:sz w:val="28"/>
          <w:szCs w:val="28"/>
        </w:rPr>
      </w:pPr>
      <w:r w:rsidRPr="00493754">
        <w:rPr>
          <w:b/>
          <w:sz w:val="28"/>
          <w:szCs w:val="28"/>
        </w:rPr>
        <w:t>Границы</w:t>
      </w:r>
    </w:p>
    <w:p w:rsidR="0083021C" w:rsidRDefault="00A2472A" w:rsidP="0083021C">
      <w:pPr>
        <w:widowControl/>
        <w:spacing w:after="240" w:line="259" w:lineRule="auto"/>
        <w:ind w:firstLine="567"/>
        <w:contextualSpacing/>
        <w:rPr>
          <w:sz w:val="28"/>
          <w:szCs w:val="28"/>
        </w:rPr>
      </w:pPr>
      <w:r w:rsidRPr="00157181">
        <w:rPr>
          <w:sz w:val="28"/>
          <w:szCs w:val="28"/>
        </w:rPr>
        <w:t>Границы участка недр</w:t>
      </w:r>
      <w:r w:rsidR="0062764E">
        <w:rPr>
          <w:sz w:val="28"/>
          <w:szCs w:val="28"/>
        </w:rPr>
        <w:t xml:space="preserve"> </w:t>
      </w:r>
      <w:r w:rsidRPr="00221AC8">
        <w:rPr>
          <w:sz w:val="28"/>
          <w:szCs w:val="28"/>
        </w:rPr>
        <w:t>в плане ограничены угловыми точками со следующими географическими координатами:</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89"/>
        <w:gridCol w:w="7"/>
        <w:gridCol w:w="1411"/>
        <w:gridCol w:w="7"/>
        <w:gridCol w:w="1413"/>
        <w:gridCol w:w="7"/>
        <w:gridCol w:w="1270"/>
        <w:gridCol w:w="7"/>
        <w:gridCol w:w="1410"/>
        <w:gridCol w:w="7"/>
        <w:gridCol w:w="1411"/>
        <w:gridCol w:w="7"/>
      </w:tblGrid>
      <w:tr w:rsidR="009D691A" w:rsidRPr="006E4E2C" w:rsidTr="00100882">
        <w:tc>
          <w:tcPr>
            <w:tcW w:w="1365" w:type="dxa"/>
            <w:vMerge w:val="restart"/>
            <w:vAlign w:val="center"/>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Номер точки</w:t>
            </w:r>
          </w:p>
        </w:tc>
        <w:tc>
          <w:tcPr>
            <w:tcW w:w="4234" w:type="dxa"/>
            <w:gridSpan w:val="6"/>
            <w:vAlign w:val="center"/>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Северная широта</w:t>
            </w:r>
          </w:p>
        </w:tc>
        <w:tc>
          <w:tcPr>
            <w:tcW w:w="4112" w:type="dxa"/>
            <w:gridSpan w:val="6"/>
            <w:vAlign w:val="center"/>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Восточная долгота</w:t>
            </w:r>
          </w:p>
        </w:tc>
      </w:tr>
      <w:tr w:rsidR="009D691A" w:rsidRPr="006E4E2C" w:rsidTr="00100882">
        <w:tc>
          <w:tcPr>
            <w:tcW w:w="1365" w:type="dxa"/>
            <w:vMerge/>
          </w:tcPr>
          <w:p w:rsidR="009D691A" w:rsidRPr="006E4E2C" w:rsidRDefault="009D691A" w:rsidP="009D691A">
            <w:pPr>
              <w:spacing w:line="240" w:lineRule="atLeast"/>
              <w:ind w:firstLine="0"/>
              <w:jc w:val="center"/>
              <w:rPr>
                <w:color w:val="000000"/>
                <w:sz w:val="24"/>
                <w:szCs w:val="24"/>
              </w:rPr>
            </w:pPr>
          </w:p>
        </w:tc>
        <w:tc>
          <w:tcPr>
            <w:tcW w:w="1396"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град.</w:t>
            </w:r>
          </w:p>
        </w:tc>
        <w:tc>
          <w:tcPr>
            <w:tcW w:w="1418"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мин.</w:t>
            </w:r>
          </w:p>
        </w:tc>
        <w:tc>
          <w:tcPr>
            <w:tcW w:w="1420"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сек.</w:t>
            </w:r>
          </w:p>
        </w:tc>
        <w:tc>
          <w:tcPr>
            <w:tcW w:w="1277"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Град.</w:t>
            </w:r>
          </w:p>
        </w:tc>
        <w:tc>
          <w:tcPr>
            <w:tcW w:w="1417"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мин.</w:t>
            </w:r>
          </w:p>
        </w:tc>
        <w:tc>
          <w:tcPr>
            <w:tcW w:w="1418" w:type="dxa"/>
            <w:gridSpan w:val="2"/>
          </w:tcPr>
          <w:p w:rsidR="009D691A" w:rsidRPr="006E4E2C" w:rsidRDefault="009D691A" w:rsidP="009D691A">
            <w:pPr>
              <w:spacing w:line="240" w:lineRule="atLeast"/>
              <w:ind w:firstLine="0"/>
              <w:jc w:val="center"/>
              <w:rPr>
                <w:color w:val="000000"/>
                <w:sz w:val="24"/>
                <w:szCs w:val="24"/>
              </w:rPr>
            </w:pPr>
            <w:r w:rsidRPr="006E4E2C">
              <w:rPr>
                <w:color w:val="000000"/>
                <w:sz w:val="24"/>
                <w:szCs w:val="24"/>
              </w:rPr>
              <w:t>сек.</w:t>
            </w:r>
          </w:p>
        </w:tc>
      </w:tr>
      <w:tr w:rsidR="009D691A" w:rsidRPr="006E4E2C" w:rsidTr="00100882">
        <w:trPr>
          <w:gridAfter w:val="1"/>
          <w:wAfter w:w="7" w:type="dxa"/>
          <w:trHeight w:val="288"/>
        </w:trPr>
        <w:tc>
          <w:tcPr>
            <w:tcW w:w="1365" w:type="dxa"/>
            <w:shd w:val="clear" w:color="auto" w:fill="auto"/>
            <w:noWrap/>
            <w:vAlign w:val="bottom"/>
          </w:tcPr>
          <w:p w:rsidR="009D691A" w:rsidRPr="006E4E2C" w:rsidRDefault="009D691A" w:rsidP="009D691A">
            <w:pPr>
              <w:pStyle w:val="ad"/>
              <w:autoSpaceDE/>
              <w:autoSpaceDN/>
              <w:adjustRightInd/>
              <w:spacing w:line="240" w:lineRule="atLeast"/>
              <w:ind w:left="0"/>
              <w:jc w:val="center"/>
              <w:rPr>
                <w:color w:val="000000"/>
                <w:sz w:val="24"/>
                <w:szCs w:val="24"/>
              </w:rPr>
            </w:pPr>
            <w:r>
              <w:rPr>
                <w:color w:val="000000"/>
                <w:sz w:val="24"/>
                <w:szCs w:val="24"/>
              </w:rPr>
              <w:t>1</w:t>
            </w:r>
          </w:p>
        </w:tc>
        <w:tc>
          <w:tcPr>
            <w:tcW w:w="1389" w:type="dxa"/>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21,228</w:t>
            </w:r>
          </w:p>
        </w:tc>
        <w:tc>
          <w:tcPr>
            <w:tcW w:w="1277"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29</w:t>
            </w:r>
          </w:p>
        </w:tc>
        <w:tc>
          <w:tcPr>
            <w:tcW w:w="1418"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05,516</w:t>
            </w:r>
          </w:p>
        </w:tc>
      </w:tr>
      <w:tr w:rsidR="009D691A" w:rsidRPr="006E4E2C" w:rsidTr="00100882">
        <w:trPr>
          <w:gridAfter w:val="1"/>
          <w:wAfter w:w="7" w:type="dxa"/>
          <w:trHeight w:val="288"/>
        </w:trPr>
        <w:tc>
          <w:tcPr>
            <w:tcW w:w="1365" w:type="dxa"/>
            <w:shd w:val="clear" w:color="auto" w:fill="auto"/>
            <w:noWrap/>
            <w:vAlign w:val="bottom"/>
          </w:tcPr>
          <w:p w:rsidR="009D691A" w:rsidRPr="006E4E2C" w:rsidRDefault="009D691A" w:rsidP="009D691A">
            <w:pPr>
              <w:pStyle w:val="ad"/>
              <w:autoSpaceDE/>
              <w:autoSpaceDN/>
              <w:adjustRightInd/>
              <w:spacing w:line="240" w:lineRule="atLeast"/>
              <w:ind w:left="0"/>
              <w:jc w:val="center"/>
              <w:rPr>
                <w:color w:val="000000"/>
                <w:sz w:val="24"/>
                <w:szCs w:val="24"/>
              </w:rPr>
            </w:pPr>
            <w:r>
              <w:rPr>
                <w:color w:val="000000"/>
                <w:sz w:val="24"/>
                <w:szCs w:val="24"/>
              </w:rPr>
              <w:t>2</w:t>
            </w:r>
          </w:p>
        </w:tc>
        <w:tc>
          <w:tcPr>
            <w:tcW w:w="1389" w:type="dxa"/>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24,093</w:t>
            </w:r>
          </w:p>
        </w:tc>
        <w:tc>
          <w:tcPr>
            <w:tcW w:w="1277"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29</w:t>
            </w:r>
          </w:p>
        </w:tc>
        <w:tc>
          <w:tcPr>
            <w:tcW w:w="1418"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56,364</w:t>
            </w:r>
          </w:p>
        </w:tc>
      </w:tr>
      <w:tr w:rsidR="009D691A" w:rsidRPr="006E4E2C" w:rsidTr="00100882">
        <w:trPr>
          <w:gridAfter w:val="1"/>
          <w:wAfter w:w="7" w:type="dxa"/>
          <w:trHeight w:val="288"/>
        </w:trPr>
        <w:tc>
          <w:tcPr>
            <w:tcW w:w="1365" w:type="dxa"/>
            <w:shd w:val="clear" w:color="auto" w:fill="auto"/>
            <w:noWrap/>
            <w:vAlign w:val="bottom"/>
          </w:tcPr>
          <w:p w:rsidR="009D691A" w:rsidRPr="006E4E2C" w:rsidRDefault="009D691A" w:rsidP="009D691A">
            <w:pPr>
              <w:pStyle w:val="ad"/>
              <w:autoSpaceDE/>
              <w:autoSpaceDN/>
              <w:adjustRightInd/>
              <w:spacing w:line="240" w:lineRule="atLeast"/>
              <w:ind w:left="0"/>
              <w:jc w:val="center"/>
              <w:rPr>
                <w:color w:val="000000"/>
                <w:sz w:val="24"/>
                <w:szCs w:val="24"/>
              </w:rPr>
            </w:pPr>
            <w:r>
              <w:rPr>
                <w:color w:val="000000"/>
                <w:sz w:val="24"/>
                <w:szCs w:val="24"/>
              </w:rPr>
              <w:t>3</w:t>
            </w:r>
          </w:p>
        </w:tc>
        <w:tc>
          <w:tcPr>
            <w:tcW w:w="1389" w:type="dxa"/>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40,296</w:t>
            </w:r>
          </w:p>
        </w:tc>
        <w:tc>
          <w:tcPr>
            <w:tcW w:w="1277"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29</w:t>
            </w:r>
          </w:p>
        </w:tc>
        <w:tc>
          <w:tcPr>
            <w:tcW w:w="1418" w:type="dxa"/>
            <w:gridSpan w:val="2"/>
            <w:shd w:val="clear" w:color="auto" w:fill="auto"/>
            <w:noWrap/>
          </w:tcPr>
          <w:p w:rsidR="009D691A" w:rsidRPr="006E4E2C" w:rsidRDefault="009D691A" w:rsidP="009D691A">
            <w:pPr>
              <w:spacing w:line="240" w:lineRule="atLeast"/>
              <w:ind w:firstLine="0"/>
              <w:jc w:val="center"/>
              <w:rPr>
                <w:color w:val="000000"/>
                <w:sz w:val="24"/>
                <w:szCs w:val="24"/>
              </w:rPr>
            </w:pPr>
            <w:r>
              <w:rPr>
                <w:color w:val="000000"/>
                <w:sz w:val="24"/>
                <w:szCs w:val="24"/>
              </w:rPr>
              <w:t>29,589</w:t>
            </w:r>
          </w:p>
        </w:tc>
      </w:tr>
      <w:tr w:rsidR="009D691A" w:rsidRPr="006E4E2C" w:rsidTr="00100882">
        <w:trPr>
          <w:gridAfter w:val="1"/>
          <w:wAfter w:w="7" w:type="dxa"/>
          <w:trHeight w:val="288"/>
        </w:trPr>
        <w:tc>
          <w:tcPr>
            <w:tcW w:w="1365" w:type="dxa"/>
            <w:shd w:val="clear" w:color="auto" w:fill="auto"/>
            <w:noWrap/>
            <w:vAlign w:val="bottom"/>
          </w:tcPr>
          <w:p w:rsidR="009D691A" w:rsidRPr="006E4E2C" w:rsidRDefault="009D691A" w:rsidP="009D691A">
            <w:pPr>
              <w:pStyle w:val="ad"/>
              <w:autoSpaceDE/>
              <w:autoSpaceDN/>
              <w:adjustRightInd/>
              <w:spacing w:line="240" w:lineRule="atLeast"/>
              <w:ind w:left="0"/>
              <w:jc w:val="center"/>
              <w:rPr>
                <w:color w:val="000000"/>
                <w:sz w:val="24"/>
                <w:szCs w:val="24"/>
              </w:rPr>
            </w:pPr>
            <w:r>
              <w:rPr>
                <w:color w:val="000000"/>
                <w:sz w:val="24"/>
                <w:szCs w:val="24"/>
              </w:rPr>
              <w:t>4</w:t>
            </w:r>
          </w:p>
        </w:tc>
        <w:tc>
          <w:tcPr>
            <w:tcW w:w="1389" w:type="dxa"/>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51,966</w:t>
            </w:r>
          </w:p>
        </w:tc>
        <w:tc>
          <w:tcPr>
            <w:tcW w:w="1277"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30</w:t>
            </w:r>
          </w:p>
        </w:tc>
        <w:tc>
          <w:tcPr>
            <w:tcW w:w="1418" w:type="dxa"/>
            <w:gridSpan w:val="2"/>
            <w:shd w:val="clear" w:color="auto" w:fill="auto"/>
            <w:noWrap/>
            <w:vAlign w:val="bottom"/>
          </w:tcPr>
          <w:p w:rsidR="009D691A" w:rsidRPr="006E4E2C" w:rsidRDefault="009D691A" w:rsidP="009D691A">
            <w:pPr>
              <w:spacing w:line="240" w:lineRule="atLeast"/>
              <w:ind w:firstLine="0"/>
              <w:jc w:val="center"/>
              <w:rPr>
                <w:color w:val="000000"/>
                <w:sz w:val="24"/>
                <w:szCs w:val="24"/>
              </w:rPr>
            </w:pPr>
            <w:r>
              <w:rPr>
                <w:color w:val="000000"/>
                <w:sz w:val="24"/>
                <w:szCs w:val="24"/>
              </w:rPr>
              <w:t>37,789</w:t>
            </w:r>
          </w:p>
        </w:tc>
      </w:tr>
      <w:tr w:rsidR="009D691A" w:rsidRPr="006E4E2C" w:rsidTr="00100882">
        <w:trPr>
          <w:gridAfter w:val="1"/>
          <w:wAfter w:w="7" w:type="dxa"/>
          <w:trHeight w:val="288"/>
        </w:trPr>
        <w:tc>
          <w:tcPr>
            <w:tcW w:w="1365" w:type="dxa"/>
            <w:shd w:val="clear" w:color="auto" w:fill="auto"/>
            <w:noWrap/>
            <w:vAlign w:val="bottom"/>
          </w:tcPr>
          <w:p w:rsidR="009D691A" w:rsidRDefault="009D691A" w:rsidP="009D691A">
            <w:pPr>
              <w:pStyle w:val="ad"/>
              <w:autoSpaceDE/>
              <w:autoSpaceDN/>
              <w:adjustRightInd/>
              <w:spacing w:line="240" w:lineRule="atLeast"/>
              <w:ind w:left="0"/>
              <w:jc w:val="center"/>
              <w:rPr>
                <w:color w:val="000000"/>
                <w:sz w:val="24"/>
                <w:szCs w:val="24"/>
              </w:rPr>
            </w:pPr>
            <w:r>
              <w:rPr>
                <w:color w:val="000000"/>
                <w:sz w:val="24"/>
                <w:szCs w:val="24"/>
              </w:rPr>
              <w:t>5</w:t>
            </w:r>
          </w:p>
        </w:tc>
        <w:tc>
          <w:tcPr>
            <w:tcW w:w="1389" w:type="dxa"/>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22,917</w:t>
            </w:r>
          </w:p>
        </w:tc>
        <w:tc>
          <w:tcPr>
            <w:tcW w:w="127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31</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08,953</w:t>
            </w:r>
          </w:p>
        </w:tc>
      </w:tr>
      <w:tr w:rsidR="009D691A" w:rsidRPr="006E4E2C" w:rsidTr="00100882">
        <w:trPr>
          <w:gridAfter w:val="1"/>
          <w:wAfter w:w="7" w:type="dxa"/>
          <w:trHeight w:val="288"/>
        </w:trPr>
        <w:tc>
          <w:tcPr>
            <w:tcW w:w="1365" w:type="dxa"/>
            <w:shd w:val="clear" w:color="auto" w:fill="auto"/>
            <w:noWrap/>
            <w:vAlign w:val="bottom"/>
          </w:tcPr>
          <w:p w:rsidR="009D691A" w:rsidRDefault="009D691A" w:rsidP="009D691A">
            <w:pPr>
              <w:pStyle w:val="ad"/>
              <w:autoSpaceDE/>
              <w:autoSpaceDN/>
              <w:adjustRightInd/>
              <w:spacing w:line="240" w:lineRule="atLeast"/>
              <w:ind w:left="0"/>
              <w:jc w:val="center"/>
              <w:rPr>
                <w:color w:val="000000"/>
                <w:sz w:val="24"/>
                <w:szCs w:val="24"/>
              </w:rPr>
            </w:pPr>
            <w:r>
              <w:rPr>
                <w:color w:val="000000"/>
                <w:sz w:val="24"/>
                <w:szCs w:val="24"/>
              </w:rPr>
              <w:t>6</w:t>
            </w:r>
          </w:p>
        </w:tc>
        <w:tc>
          <w:tcPr>
            <w:tcW w:w="1389" w:type="dxa"/>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11,770</w:t>
            </w:r>
          </w:p>
        </w:tc>
        <w:tc>
          <w:tcPr>
            <w:tcW w:w="127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32</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18,962</w:t>
            </w:r>
          </w:p>
        </w:tc>
      </w:tr>
      <w:tr w:rsidR="009D691A" w:rsidRPr="006E4E2C" w:rsidTr="00100882">
        <w:trPr>
          <w:gridAfter w:val="1"/>
          <w:wAfter w:w="7" w:type="dxa"/>
          <w:trHeight w:val="288"/>
        </w:trPr>
        <w:tc>
          <w:tcPr>
            <w:tcW w:w="1365" w:type="dxa"/>
            <w:shd w:val="clear" w:color="auto" w:fill="auto"/>
            <w:noWrap/>
            <w:vAlign w:val="bottom"/>
          </w:tcPr>
          <w:p w:rsidR="009D691A" w:rsidRDefault="009D691A" w:rsidP="009D691A">
            <w:pPr>
              <w:pStyle w:val="ad"/>
              <w:autoSpaceDE/>
              <w:autoSpaceDN/>
              <w:adjustRightInd/>
              <w:spacing w:line="240" w:lineRule="atLeast"/>
              <w:ind w:left="0"/>
              <w:jc w:val="center"/>
              <w:rPr>
                <w:color w:val="000000"/>
                <w:sz w:val="24"/>
                <w:szCs w:val="24"/>
              </w:rPr>
            </w:pPr>
            <w:r>
              <w:rPr>
                <w:color w:val="000000"/>
                <w:sz w:val="24"/>
                <w:szCs w:val="24"/>
              </w:rPr>
              <w:t>7</w:t>
            </w:r>
          </w:p>
        </w:tc>
        <w:tc>
          <w:tcPr>
            <w:tcW w:w="1389" w:type="dxa"/>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20</w:t>
            </w:r>
          </w:p>
        </w:tc>
        <w:tc>
          <w:tcPr>
            <w:tcW w:w="1420"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46,332</w:t>
            </w:r>
          </w:p>
        </w:tc>
        <w:tc>
          <w:tcPr>
            <w:tcW w:w="127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31</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47,479</w:t>
            </w:r>
          </w:p>
        </w:tc>
      </w:tr>
      <w:tr w:rsidR="009D691A" w:rsidRPr="006E4E2C" w:rsidTr="00100882">
        <w:trPr>
          <w:gridAfter w:val="1"/>
          <w:wAfter w:w="7" w:type="dxa"/>
          <w:trHeight w:val="288"/>
        </w:trPr>
        <w:tc>
          <w:tcPr>
            <w:tcW w:w="1365" w:type="dxa"/>
            <w:shd w:val="clear" w:color="auto" w:fill="auto"/>
            <w:noWrap/>
            <w:vAlign w:val="bottom"/>
          </w:tcPr>
          <w:p w:rsidR="009D691A" w:rsidRDefault="009D691A" w:rsidP="009D691A">
            <w:pPr>
              <w:pStyle w:val="ad"/>
              <w:autoSpaceDE/>
              <w:autoSpaceDN/>
              <w:adjustRightInd/>
              <w:spacing w:line="240" w:lineRule="atLeast"/>
              <w:ind w:left="0"/>
              <w:jc w:val="center"/>
              <w:rPr>
                <w:color w:val="000000"/>
                <w:sz w:val="24"/>
                <w:szCs w:val="24"/>
              </w:rPr>
            </w:pPr>
            <w:r>
              <w:rPr>
                <w:color w:val="000000"/>
                <w:sz w:val="24"/>
                <w:szCs w:val="24"/>
              </w:rPr>
              <w:t>8</w:t>
            </w:r>
          </w:p>
        </w:tc>
        <w:tc>
          <w:tcPr>
            <w:tcW w:w="1389" w:type="dxa"/>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01,993</w:t>
            </w:r>
          </w:p>
        </w:tc>
        <w:tc>
          <w:tcPr>
            <w:tcW w:w="127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30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12,532</w:t>
            </w:r>
          </w:p>
        </w:tc>
      </w:tr>
      <w:tr w:rsidR="009D691A" w:rsidRPr="006E4E2C" w:rsidTr="00100882">
        <w:trPr>
          <w:gridAfter w:val="1"/>
          <w:wAfter w:w="7" w:type="dxa"/>
          <w:trHeight w:val="288"/>
        </w:trPr>
        <w:tc>
          <w:tcPr>
            <w:tcW w:w="1365" w:type="dxa"/>
            <w:shd w:val="clear" w:color="auto" w:fill="auto"/>
            <w:noWrap/>
            <w:vAlign w:val="bottom"/>
          </w:tcPr>
          <w:p w:rsidR="009D691A" w:rsidRDefault="009D691A" w:rsidP="009D691A">
            <w:pPr>
              <w:pStyle w:val="ad"/>
              <w:autoSpaceDE/>
              <w:autoSpaceDN/>
              <w:adjustRightInd/>
              <w:spacing w:line="240" w:lineRule="atLeast"/>
              <w:ind w:left="0"/>
              <w:jc w:val="center"/>
              <w:rPr>
                <w:color w:val="000000"/>
                <w:sz w:val="24"/>
                <w:szCs w:val="24"/>
              </w:rPr>
            </w:pPr>
            <w:r>
              <w:rPr>
                <w:color w:val="000000"/>
                <w:sz w:val="24"/>
                <w:szCs w:val="24"/>
              </w:rPr>
              <w:t>9</w:t>
            </w:r>
          </w:p>
        </w:tc>
        <w:tc>
          <w:tcPr>
            <w:tcW w:w="1389" w:type="dxa"/>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70</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21</w:t>
            </w:r>
          </w:p>
        </w:tc>
        <w:tc>
          <w:tcPr>
            <w:tcW w:w="1420"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03,428</w:t>
            </w:r>
          </w:p>
        </w:tc>
        <w:tc>
          <w:tcPr>
            <w:tcW w:w="127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134</w:t>
            </w:r>
          </w:p>
        </w:tc>
        <w:tc>
          <w:tcPr>
            <w:tcW w:w="1417"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29</w:t>
            </w:r>
          </w:p>
        </w:tc>
        <w:tc>
          <w:tcPr>
            <w:tcW w:w="1418" w:type="dxa"/>
            <w:gridSpan w:val="2"/>
            <w:shd w:val="clear" w:color="auto" w:fill="auto"/>
            <w:noWrap/>
            <w:vAlign w:val="bottom"/>
          </w:tcPr>
          <w:p w:rsidR="009D691A" w:rsidRDefault="009D691A" w:rsidP="009D691A">
            <w:pPr>
              <w:spacing w:line="240" w:lineRule="atLeast"/>
              <w:ind w:firstLine="0"/>
              <w:jc w:val="center"/>
              <w:rPr>
                <w:color w:val="000000"/>
                <w:sz w:val="24"/>
                <w:szCs w:val="24"/>
              </w:rPr>
            </w:pPr>
            <w:r>
              <w:rPr>
                <w:color w:val="000000"/>
                <w:sz w:val="24"/>
                <w:szCs w:val="24"/>
              </w:rPr>
              <w:t>06,765</w:t>
            </w:r>
          </w:p>
        </w:tc>
      </w:tr>
    </w:tbl>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Верхняя граница – нижняя граница почвенного слоя, а при его отсутствии – граница земной поверхности и дна водоемов и водотоков.</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Нижняя граница – 2 м ниже плотика россыпи.</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Площадь участка недр составляет 2,01 км2.</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Согласно письму Администрации муниципального района «</w:t>
      </w:r>
      <w:proofErr w:type="spellStart"/>
      <w:r w:rsidRPr="009D691A">
        <w:rPr>
          <w:rFonts w:eastAsia="Calibri"/>
          <w:sz w:val="28"/>
          <w:szCs w:val="28"/>
          <w:lang w:eastAsia="en-US"/>
        </w:rPr>
        <w:t>Усть</w:t>
      </w:r>
      <w:proofErr w:type="spellEnd"/>
      <w:r w:rsidRPr="009D691A">
        <w:rPr>
          <w:rFonts w:eastAsia="Calibri"/>
          <w:sz w:val="28"/>
          <w:szCs w:val="28"/>
          <w:lang w:eastAsia="en-US"/>
        </w:rPr>
        <w:t>-Янский улус (район)» от 11.11.2024 № 3130 Участок недр находится в особо охраняемой территории - зона с особыми условиями использования территории с номером 14:31-6.18 «Территория традиционного природопользования местного значения муниципального образования «</w:t>
      </w:r>
      <w:proofErr w:type="spellStart"/>
      <w:r w:rsidRPr="009D691A">
        <w:rPr>
          <w:rFonts w:eastAsia="Calibri"/>
          <w:sz w:val="28"/>
          <w:szCs w:val="28"/>
          <w:lang w:eastAsia="en-US"/>
        </w:rPr>
        <w:t>Омолойский</w:t>
      </w:r>
      <w:proofErr w:type="spellEnd"/>
      <w:r w:rsidRPr="009D691A">
        <w:rPr>
          <w:rFonts w:eastAsia="Calibri"/>
          <w:sz w:val="28"/>
          <w:szCs w:val="28"/>
          <w:lang w:eastAsia="en-US"/>
        </w:rPr>
        <w:t xml:space="preserve"> национальный наслег», а также на территории традиционного природопользования СХПК КРО «Омолой и К» с номером № 14:31- 6.3.</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Согласно письму Министерства экологии, природопользования и лесного хозяйства от 13.11.2024 № 18/05/1-01-14-15229 Участок недр находится в границах водоохраной зоны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Месторождение россыпного золота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левый приток р. Яна расположено на территории МР «</w:t>
      </w:r>
      <w:proofErr w:type="spellStart"/>
      <w:r w:rsidRPr="009D691A">
        <w:rPr>
          <w:rFonts w:eastAsia="Calibri"/>
          <w:sz w:val="28"/>
          <w:szCs w:val="28"/>
          <w:lang w:eastAsia="en-US"/>
        </w:rPr>
        <w:t>Усть</w:t>
      </w:r>
      <w:proofErr w:type="spellEnd"/>
      <w:r w:rsidRPr="009D691A">
        <w:rPr>
          <w:rFonts w:eastAsia="Calibri"/>
          <w:sz w:val="28"/>
          <w:szCs w:val="28"/>
          <w:lang w:eastAsia="en-US"/>
        </w:rPr>
        <w:t xml:space="preserve">-Янский район» Республики Саха (Якутия), в 232 км (по прямой) на северо-запад от пос. Депутатский, </w:t>
      </w:r>
      <w:r w:rsidRPr="009D691A">
        <w:rPr>
          <w:rFonts w:eastAsia="Calibri"/>
          <w:sz w:val="28"/>
          <w:szCs w:val="28"/>
          <w:lang w:eastAsia="en-US"/>
        </w:rPr>
        <w:lastRenderedPageBreak/>
        <w:t>административного центра района.</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Месторождение россыпного золота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xml:space="preserve"> представляет собой аллювиальную долинную россыпь. Промышленный золотоносный пласт представляет собой лентообразную залежь, приурочен к подошве аллювиальных отложений и, в основном, к верхней разрушенной границе коренных пород. Пески большей частью сложены элювиальным щебнем нижележащих глинистых сланцев и песчаников, в меньшей степени - аллювиальной галькой с глиной или трещиноватыми и разрушенными глинистыми сланцами. Глубина просадки золота в коренные породы колеблется от 0,2 до 0,5м. Мощность торфов колеблется от 1, до 4,2 м, средняя мощность - 1,6 м; мощность песков от 0,4 до 2 м, средняя - 0,7 м; коэффициент вскрыши 2,27, среднее содержание золота - 0,74 г/м3.</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Рыхлые аллювиальные отложения, слагающие долину ручья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представлены:</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1) растительно-</w:t>
      </w:r>
      <w:proofErr w:type="spellStart"/>
      <w:r w:rsidRPr="009D691A">
        <w:rPr>
          <w:rFonts w:eastAsia="Calibri"/>
          <w:sz w:val="28"/>
          <w:szCs w:val="28"/>
          <w:lang w:eastAsia="en-US"/>
        </w:rPr>
        <w:t>моховый</w:t>
      </w:r>
      <w:proofErr w:type="spellEnd"/>
      <w:r w:rsidRPr="009D691A">
        <w:rPr>
          <w:rFonts w:eastAsia="Calibri"/>
          <w:sz w:val="28"/>
          <w:szCs w:val="28"/>
          <w:lang w:eastAsia="en-US"/>
        </w:rPr>
        <w:t xml:space="preserve"> покров имеет повсеместное </w:t>
      </w:r>
      <w:proofErr w:type="gramStart"/>
      <w:r w:rsidRPr="009D691A">
        <w:rPr>
          <w:rFonts w:eastAsia="Calibri"/>
          <w:sz w:val="28"/>
          <w:szCs w:val="28"/>
          <w:lang w:eastAsia="en-US"/>
        </w:rPr>
        <w:t>распространение,  мощность</w:t>
      </w:r>
      <w:proofErr w:type="gramEnd"/>
      <w:r w:rsidRPr="009D691A">
        <w:rPr>
          <w:rFonts w:eastAsia="Calibri"/>
          <w:sz w:val="28"/>
          <w:szCs w:val="28"/>
          <w:lang w:eastAsia="en-US"/>
        </w:rPr>
        <w:t xml:space="preserve"> - 0,2-0,4 м;</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2) суглинки, илы, местами обильно льдистые мощность - 0,4-8,0 м;</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3) галечник песчано-глинистых сланцев сцементированные глиной, мощность - 1,0-8,0 м;</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4) щебень осадочных пород мощность - 0,8-1,6 </w:t>
      </w:r>
      <w:proofErr w:type="gramStart"/>
      <w:r w:rsidRPr="009D691A">
        <w:rPr>
          <w:rFonts w:eastAsia="Calibri"/>
          <w:sz w:val="28"/>
          <w:szCs w:val="28"/>
          <w:lang w:eastAsia="en-US"/>
        </w:rPr>
        <w:t>м;.</w:t>
      </w:r>
      <w:proofErr w:type="gramEnd"/>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Распределение золота крайне неравномерное как по мощности пласта песков, так и в плане. Наиболее обогащена нижняя часть пласта. Плотик представлен, в основном, трещиноватыми мелкозернистыми песчаниками, глинистыми сланцами.</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Ситовый состав золота по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xml:space="preserve"> изучен по валовой пробе (навеска 416 г):</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менее 0,1 мм - 19,2%;</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от 0,1 до 0,3 мм - 49,4%;</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от 0,3 до 0,5 мм - 22,8%;</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от 0,5 до 1,0 мм - 7%;</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от 1,0 до 3,0 мм - 1,4%;</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от 3,0 до 5,0 мм - 0,2%.</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Золото имеет форму пластинок и зерен. Преобладают зерна - таблитчатые, </w:t>
      </w:r>
      <w:proofErr w:type="spellStart"/>
      <w:r w:rsidRPr="009D691A">
        <w:rPr>
          <w:rFonts w:eastAsia="Calibri"/>
          <w:sz w:val="28"/>
          <w:szCs w:val="28"/>
          <w:lang w:eastAsia="en-US"/>
        </w:rPr>
        <w:t>изометричные</w:t>
      </w:r>
      <w:proofErr w:type="spellEnd"/>
      <w:r w:rsidRPr="009D691A">
        <w:rPr>
          <w:rFonts w:eastAsia="Calibri"/>
          <w:sz w:val="28"/>
          <w:szCs w:val="28"/>
          <w:lang w:eastAsia="en-US"/>
        </w:rPr>
        <w:t xml:space="preserve">, иногда с расщепленными краями. Поверхность гладкая, шагреневая, реже кавернозная. </w:t>
      </w:r>
      <w:proofErr w:type="spellStart"/>
      <w:r w:rsidRPr="009D691A">
        <w:rPr>
          <w:rFonts w:eastAsia="Calibri"/>
          <w:sz w:val="28"/>
          <w:szCs w:val="28"/>
          <w:lang w:eastAsia="en-US"/>
        </w:rPr>
        <w:t>Окатанность</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золотин</w:t>
      </w:r>
      <w:proofErr w:type="spellEnd"/>
      <w:r w:rsidRPr="009D691A">
        <w:rPr>
          <w:rFonts w:eastAsia="Calibri"/>
          <w:sz w:val="28"/>
          <w:szCs w:val="28"/>
          <w:lang w:eastAsia="en-US"/>
        </w:rPr>
        <w:t xml:space="preserve"> хорошая, редко средняя. Пластины - овальные, неправильных форм с плавными очертаниями. Цвет золотисто-желтый, редко с </w:t>
      </w:r>
      <w:proofErr w:type="gramStart"/>
      <w:r w:rsidRPr="009D691A">
        <w:rPr>
          <w:rFonts w:eastAsia="Calibri"/>
          <w:sz w:val="28"/>
          <w:szCs w:val="28"/>
          <w:lang w:eastAsia="en-US"/>
        </w:rPr>
        <w:t>серебристым  и</w:t>
      </w:r>
      <w:proofErr w:type="gramEnd"/>
      <w:r w:rsidRPr="009D691A">
        <w:rPr>
          <w:rFonts w:eastAsia="Calibri"/>
          <w:sz w:val="28"/>
          <w:szCs w:val="28"/>
          <w:lang w:eastAsia="en-US"/>
        </w:rPr>
        <w:t xml:space="preserve"> углистым налетом. Помимо пластинок и зерен встречаются единичные палочковидные </w:t>
      </w:r>
      <w:proofErr w:type="spellStart"/>
      <w:r w:rsidRPr="009D691A">
        <w:rPr>
          <w:rFonts w:eastAsia="Calibri"/>
          <w:sz w:val="28"/>
          <w:szCs w:val="28"/>
          <w:lang w:eastAsia="en-US"/>
        </w:rPr>
        <w:t>золотины</w:t>
      </w:r>
      <w:proofErr w:type="spellEnd"/>
      <w:r w:rsidRPr="009D691A">
        <w:rPr>
          <w:rFonts w:eastAsia="Calibri"/>
          <w:sz w:val="28"/>
          <w:szCs w:val="28"/>
          <w:lang w:eastAsia="en-US"/>
        </w:rPr>
        <w:t xml:space="preserve">, кристаллы и их сростки, дендриты. Размеры </w:t>
      </w:r>
      <w:proofErr w:type="spellStart"/>
      <w:r w:rsidRPr="009D691A">
        <w:rPr>
          <w:rFonts w:eastAsia="Calibri"/>
          <w:sz w:val="28"/>
          <w:szCs w:val="28"/>
          <w:lang w:eastAsia="en-US"/>
        </w:rPr>
        <w:t>золотин</w:t>
      </w:r>
      <w:proofErr w:type="spellEnd"/>
      <w:r w:rsidRPr="009D691A">
        <w:rPr>
          <w:rFonts w:eastAsia="Calibri"/>
          <w:sz w:val="28"/>
          <w:szCs w:val="28"/>
          <w:lang w:eastAsia="en-US"/>
        </w:rPr>
        <w:t xml:space="preserve"> в основном фракции 0,1-0,3 мм. </w:t>
      </w:r>
      <w:proofErr w:type="spellStart"/>
      <w:r w:rsidRPr="009D691A">
        <w:rPr>
          <w:rFonts w:eastAsia="Calibri"/>
          <w:sz w:val="28"/>
          <w:szCs w:val="28"/>
          <w:lang w:eastAsia="en-US"/>
        </w:rPr>
        <w:t>Окатанность</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золотин</w:t>
      </w:r>
      <w:proofErr w:type="spellEnd"/>
      <w:r w:rsidRPr="009D691A">
        <w:rPr>
          <w:rFonts w:eastAsia="Calibri"/>
          <w:sz w:val="28"/>
          <w:szCs w:val="28"/>
          <w:lang w:eastAsia="en-US"/>
        </w:rPr>
        <w:t xml:space="preserve"> хорошая - 80%, реже средняя -20%. </w:t>
      </w:r>
    </w:p>
    <w:p w:rsidR="009D691A" w:rsidRPr="009D691A" w:rsidRDefault="009D691A" w:rsidP="009D691A">
      <w:pPr>
        <w:spacing w:line="240" w:lineRule="auto"/>
        <w:ind w:firstLine="567"/>
        <w:rPr>
          <w:rFonts w:eastAsia="Calibri"/>
          <w:sz w:val="28"/>
          <w:szCs w:val="28"/>
          <w:lang w:eastAsia="en-US"/>
        </w:rPr>
      </w:pPr>
      <w:proofErr w:type="spellStart"/>
      <w:r w:rsidRPr="009D691A">
        <w:rPr>
          <w:rFonts w:eastAsia="Calibri"/>
          <w:sz w:val="28"/>
          <w:szCs w:val="28"/>
          <w:lang w:eastAsia="en-US"/>
        </w:rPr>
        <w:t>Пробность</w:t>
      </w:r>
      <w:proofErr w:type="spellEnd"/>
      <w:r w:rsidRPr="009D691A">
        <w:rPr>
          <w:rFonts w:eastAsia="Calibri"/>
          <w:sz w:val="28"/>
          <w:szCs w:val="28"/>
          <w:lang w:eastAsia="en-US"/>
        </w:rPr>
        <w:t xml:space="preserve"> золота колеблется от 595 (</w:t>
      </w:r>
      <w:proofErr w:type="spellStart"/>
      <w:r w:rsidRPr="009D691A">
        <w:rPr>
          <w:rFonts w:eastAsia="Calibri"/>
          <w:sz w:val="28"/>
          <w:szCs w:val="28"/>
          <w:lang w:eastAsia="en-US"/>
        </w:rPr>
        <w:t>руч</w:t>
      </w:r>
      <w:proofErr w:type="spellEnd"/>
      <w:r w:rsidRPr="009D691A">
        <w:rPr>
          <w:rFonts w:eastAsia="Calibri"/>
          <w:sz w:val="28"/>
          <w:szCs w:val="28"/>
          <w:lang w:eastAsia="en-US"/>
        </w:rPr>
        <w:t>. Зенит) до 801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Вилка), средняя (для подсчета запасов) - 674. </w:t>
      </w:r>
      <w:proofErr w:type="spellStart"/>
      <w:r w:rsidRPr="009D691A">
        <w:rPr>
          <w:rFonts w:eastAsia="Calibri"/>
          <w:sz w:val="28"/>
          <w:szCs w:val="28"/>
          <w:lang w:eastAsia="en-US"/>
        </w:rPr>
        <w:t>Куларит</w:t>
      </w:r>
      <w:proofErr w:type="spellEnd"/>
      <w:r w:rsidRPr="009D691A">
        <w:rPr>
          <w:rFonts w:eastAsia="Calibri"/>
          <w:sz w:val="28"/>
          <w:szCs w:val="28"/>
          <w:lang w:eastAsia="en-US"/>
        </w:rPr>
        <w:t>, содержащий в повышенных концентрациях редкоземельные элементы, специально не изучался. Отмечался при минералогическом анализе шлихов (до 16,2% тяжелой фракции).</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 xml:space="preserve">Источниками образования россыпи послужили золотоносные кварцевые </w:t>
      </w:r>
      <w:r w:rsidRPr="009D691A">
        <w:rPr>
          <w:rFonts w:eastAsia="Calibri"/>
          <w:sz w:val="28"/>
          <w:szCs w:val="28"/>
          <w:lang w:eastAsia="en-US"/>
        </w:rPr>
        <w:lastRenderedPageBreak/>
        <w:t xml:space="preserve">жилы и прожилки, окварцованные зоны дробления. В металлогеническом отношении россыпь находится в </w:t>
      </w:r>
      <w:proofErr w:type="spellStart"/>
      <w:r w:rsidRPr="009D691A">
        <w:rPr>
          <w:rFonts w:eastAsia="Calibri"/>
          <w:sz w:val="28"/>
          <w:szCs w:val="28"/>
          <w:lang w:eastAsia="en-US"/>
        </w:rPr>
        <w:t>Джуотокском</w:t>
      </w:r>
      <w:proofErr w:type="spellEnd"/>
      <w:r w:rsidRPr="009D691A">
        <w:rPr>
          <w:rFonts w:eastAsia="Calibri"/>
          <w:sz w:val="28"/>
          <w:szCs w:val="28"/>
          <w:lang w:eastAsia="en-US"/>
        </w:rPr>
        <w:t xml:space="preserve"> рудном узле, где известны рудопроявления </w:t>
      </w:r>
      <w:proofErr w:type="spellStart"/>
      <w:r w:rsidRPr="009D691A">
        <w:rPr>
          <w:rFonts w:eastAsia="Calibri"/>
          <w:sz w:val="28"/>
          <w:szCs w:val="28"/>
          <w:lang w:eastAsia="en-US"/>
        </w:rPr>
        <w:t>Самыр</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xml:space="preserve"> и Зефир (Сонин,1966 г.). Жильные тела имеют форму коротких (до 40 м) линз мощностью от 0,1 до 1,5 м. Содержание золота от следов до первых граммов, редко десятки граммов на тонну. Минерализованные зоны дробления протягиваются от десятков метров до 1,5 км, мощностью от 1 до 30 м. Содержание золота от первых до десяти граммов на тонну. Все вышеназванные проявления относятся к </w:t>
      </w:r>
      <w:proofErr w:type="spellStart"/>
      <w:r w:rsidRPr="009D691A">
        <w:rPr>
          <w:rFonts w:eastAsia="Calibri"/>
          <w:sz w:val="28"/>
          <w:szCs w:val="28"/>
          <w:lang w:eastAsia="en-US"/>
        </w:rPr>
        <w:t>малосульфидной</w:t>
      </w:r>
      <w:proofErr w:type="spellEnd"/>
      <w:r w:rsidRPr="009D691A">
        <w:rPr>
          <w:rFonts w:eastAsia="Calibri"/>
          <w:sz w:val="28"/>
          <w:szCs w:val="28"/>
          <w:lang w:eastAsia="en-US"/>
        </w:rPr>
        <w:t xml:space="preserve"> </w:t>
      </w:r>
      <w:proofErr w:type="gramStart"/>
      <w:r w:rsidRPr="009D691A">
        <w:rPr>
          <w:rFonts w:eastAsia="Calibri"/>
          <w:sz w:val="28"/>
          <w:szCs w:val="28"/>
          <w:lang w:eastAsia="en-US"/>
        </w:rPr>
        <w:t>золото-кварцевой</w:t>
      </w:r>
      <w:proofErr w:type="gramEnd"/>
      <w:r w:rsidRPr="009D691A">
        <w:rPr>
          <w:rFonts w:eastAsia="Calibri"/>
          <w:sz w:val="28"/>
          <w:szCs w:val="28"/>
          <w:lang w:eastAsia="en-US"/>
        </w:rPr>
        <w:t xml:space="preserve"> формации.</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Подсчет запасов был выполнен тематической партией ГОК «</w:t>
      </w:r>
      <w:proofErr w:type="spellStart"/>
      <w:r w:rsidRPr="009D691A">
        <w:rPr>
          <w:rFonts w:eastAsia="Calibri"/>
          <w:sz w:val="28"/>
          <w:szCs w:val="28"/>
          <w:lang w:eastAsia="en-US"/>
        </w:rPr>
        <w:t>Куларзолото</w:t>
      </w:r>
      <w:proofErr w:type="spellEnd"/>
      <w:r w:rsidRPr="009D691A">
        <w:rPr>
          <w:rFonts w:eastAsia="Calibri"/>
          <w:sz w:val="28"/>
          <w:szCs w:val="28"/>
          <w:lang w:eastAsia="en-US"/>
        </w:rPr>
        <w:t>» по результатам траншейной разведки и запасы категории С1 в количестве 72 тыс.м3 песков и 53 кг золота были утверждены НТС ПО «</w:t>
      </w:r>
      <w:proofErr w:type="spellStart"/>
      <w:r w:rsidRPr="009D691A">
        <w:rPr>
          <w:rFonts w:eastAsia="Calibri"/>
          <w:sz w:val="28"/>
          <w:szCs w:val="28"/>
          <w:lang w:eastAsia="en-US"/>
        </w:rPr>
        <w:t>Якутзолото</w:t>
      </w:r>
      <w:proofErr w:type="spellEnd"/>
      <w:r w:rsidRPr="009D691A">
        <w:rPr>
          <w:rFonts w:eastAsia="Calibri"/>
          <w:sz w:val="28"/>
          <w:szCs w:val="28"/>
          <w:lang w:eastAsia="en-US"/>
        </w:rPr>
        <w:t>» в общем приросте запасов ГОКа «</w:t>
      </w:r>
      <w:proofErr w:type="spellStart"/>
      <w:r w:rsidRPr="009D691A">
        <w:rPr>
          <w:rFonts w:eastAsia="Calibri"/>
          <w:sz w:val="28"/>
          <w:szCs w:val="28"/>
          <w:lang w:eastAsia="en-US"/>
        </w:rPr>
        <w:t>Куларзолото</w:t>
      </w:r>
      <w:proofErr w:type="spellEnd"/>
      <w:r w:rsidRPr="009D691A">
        <w:rPr>
          <w:rFonts w:eastAsia="Calibri"/>
          <w:sz w:val="28"/>
          <w:szCs w:val="28"/>
          <w:lang w:eastAsia="en-US"/>
        </w:rPr>
        <w:t xml:space="preserve">» за 1982 г. После ликвидации комбината запасы были переданы в государственный резерв (протокол НТС </w:t>
      </w:r>
      <w:proofErr w:type="spellStart"/>
      <w:r w:rsidRPr="009D691A">
        <w:rPr>
          <w:rFonts w:eastAsia="Calibri"/>
          <w:sz w:val="28"/>
          <w:szCs w:val="28"/>
          <w:lang w:eastAsia="en-US"/>
        </w:rPr>
        <w:t>Госкомгеологии</w:t>
      </w:r>
      <w:proofErr w:type="spellEnd"/>
      <w:r w:rsidRPr="009D691A">
        <w:rPr>
          <w:rFonts w:eastAsia="Calibri"/>
          <w:sz w:val="28"/>
          <w:szCs w:val="28"/>
          <w:lang w:eastAsia="en-US"/>
        </w:rPr>
        <w:t xml:space="preserve"> РС(Я) № 60 от 12.05.1995 г.)</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Группа сложности - 3. Автор подсчета, организация, экспедиция: ГОК «</w:t>
      </w:r>
      <w:proofErr w:type="spellStart"/>
      <w:r w:rsidRPr="009D691A">
        <w:rPr>
          <w:rFonts w:eastAsia="Calibri"/>
          <w:sz w:val="28"/>
          <w:szCs w:val="28"/>
          <w:lang w:eastAsia="en-US"/>
        </w:rPr>
        <w:t>Куларзолото</w:t>
      </w:r>
      <w:proofErr w:type="spellEnd"/>
      <w:r w:rsidRPr="009D691A">
        <w:rPr>
          <w:rFonts w:eastAsia="Calibri"/>
          <w:sz w:val="28"/>
          <w:szCs w:val="28"/>
          <w:lang w:eastAsia="en-US"/>
        </w:rPr>
        <w:t>», 1983 г. Метод линейный. Глубина подсчета запасов от дневной поверхности - 3 м.</w:t>
      </w:r>
    </w:p>
    <w:p w:rsidR="009D691A" w:rsidRP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Организация, утвердившая запасы: НТС ПО «</w:t>
      </w:r>
      <w:proofErr w:type="spellStart"/>
      <w:r w:rsidRPr="009D691A">
        <w:rPr>
          <w:rFonts w:eastAsia="Calibri"/>
          <w:sz w:val="28"/>
          <w:szCs w:val="28"/>
          <w:lang w:eastAsia="en-US"/>
        </w:rPr>
        <w:t>Якутзолото</w:t>
      </w:r>
      <w:proofErr w:type="spellEnd"/>
      <w:r w:rsidRPr="009D691A">
        <w:rPr>
          <w:rFonts w:eastAsia="Calibri"/>
          <w:sz w:val="28"/>
          <w:szCs w:val="28"/>
          <w:lang w:eastAsia="en-US"/>
        </w:rPr>
        <w:t xml:space="preserve">», 1984 г., </w:t>
      </w:r>
      <w:proofErr w:type="spellStart"/>
      <w:r w:rsidRPr="009D691A">
        <w:rPr>
          <w:rFonts w:eastAsia="Calibri"/>
          <w:sz w:val="28"/>
          <w:szCs w:val="28"/>
          <w:lang w:eastAsia="en-US"/>
        </w:rPr>
        <w:t>прот.б</w:t>
      </w:r>
      <w:proofErr w:type="spellEnd"/>
      <w:r w:rsidRPr="009D691A">
        <w:rPr>
          <w:rFonts w:eastAsia="Calibri"/>
          <w:sz w:val="28"/>
          <w:szCs w:val="28"/>
          <w:lang w:eastAsia="en-US"/>
        </w:rPr>
        <w:t xml:space="preserve">/н от 29.02.1984 г. </w:t>
      </w:r>
      <w:proofErr w:type="spellStart"/>
      <w:r w:rsidRPr="009D691A">
        <w:rPr>
          <w:rFonts w:eastAsia="Calibri"/>
          <w:sz w:val="28"/>
          <w:szCs w:val="28"/>
          <w:lang w:eastAsia="en-US"/>
        </w:rPr>
        <w:t>Учт</w:t>
      </w:r>
      <w:proofErr w:type="spellEnd"/>
      <w:r w:rsidRPr="009D691A">
        <w:rPr>
          <w:rFonts w:eastAsia="Calibri"/>
          <w:sz w:val="28"/>
          <w:szCs w:val="28"/>
          <w:lang w:eastAsia="en-US"/>
        </w:rPr>
        <w:t>. ГБЗ в 1995 г.</w:t>
      </w:r>
    </w:p>
    <w:p w:rsidR="009D691A" w:rsidRDefault="009D691A" w:rsidP="009D691A">
      <w:pPr>
        <w:spacing w:line="240" w:lineRule="auto"/>
        <w:ind w:firstLine="567"/>
        <w:rPr>
          <w:rFonts w:eastAsia="Calibri"/>
          <w:sz w:val="28"/>
          <w:szCs w:val="28"/>
          <w:lang w:eastAsia="en-US"/>
        </w:rPr>
      </w:pPr>
      <w:r w:rsidRPr="009D691A">
        <w:rPr>
          <w:rFonts w:eastAsia="Calibri"/>
          <w:sz w:val="28"/>
          <w:szCs w:val="28"/>
          <w:lang w:eastAsia="en-US"/>
        </w:rPr>
        <w:t>Россыпь полностью оконтурена, перспектив для прироста запаса практически нет.</w:t>
      </w:r>
    </w:p>
    <w:p w:rsidR="009D691A" w:rsidRDefault="009D691A" w:rsidP="00F76A65">
      <w:pPr>
        <w:spacing w:line="240" w:lineRule="auto"/>
        <w:ind w:firstLine="567"/>
        <w:rPr>
          <w:rFonts w:eastAsia="Calibri"/>
          <w:sz w:val="28"/>
          <w:szCs w:val="28"/>
          <w:lang w:eastAsia="en-US"/>
        </w:rPr>
      </w:pPr>
      <w:r w:rsidRPr="009D691A">
        <w:rPr>
          <w:rFonts w:eastAsia="Calibri"/>
          <w:sz w:val="28"/>
          <w:szCs w:val="28"/>
          <w:lang w:eastAsia="en-US"/>
        </w:rPr>
        <w:t xml:space="preserve">По состоянию на 01.01.2025 г. Государственным балансом запасов полезных ископаемых РФ по участку недр </w:t>
      </w:r>
      <w:proofErr w:type="spellStart"/>
      <w:r w:rsidRPr="009D691A">
        <w:rPr>
          <w:rFonts w:eastAsia="Calibri"/>
          <w:sz w:val="28"/>
          <w:szCs w:val="28"/>
          <w:lang w:eastAsia="en-US"/>
        </w:rPr>
        <w:t>руч</w:t>
      </w:r>
      <w:proofErr w:type="spellEnd"/>
      <w:r w:rsidRPr="009D691A">
        <w:rPr>
          <w:rFonts w:eastAsia="Calibri"/>
          <w:sz w:val="28"/>
          <w:szCs w:val="28"/>
          <w:lang w:eastAsia="en-US"/>
        </w:rPr>
        <w:t xml:space="preserve">. </w:t>
      </w:r>
      <w:proofErr w:type="spellStart"/>
      <w:r w:rsidRPr="009D691A">
        <w:rPr>
          <w:rFonts w:eastAsia="Calibri"/>
          <w:sz w:val="28"/>
          <w:szCs w:val="28"/>
          <w:lang w:eastAsia="en-US"/>
        </w:rPr>
        <w:t>Туогучан</w:t>
      </w:r>
      <w:proofErr w:type="spellEnd"/>
      <w:r w:rsidRPr="009D691A">
        <w:rPr>
          <w:rFonts w:eastAsia="Calibri"/>
          <w:sz w:val="28"/>
          <w:szCs w:val="28"/>
          <w:lang w:eastAsia="en-US"/>
        </w:rPr>
        <w:t>, левый приток р. Яна учитываются запасы для открытой отработки: по категории С1 – 72 тыс. м3 песков и 53 кг золота.</w:t>
      </w:r>
    </w:p>
    <w:p w:rsidR="00D31E86" w:rsidRPr="00D31E86" w:rsidRDefault="00D31E86" w:rsidP="00D31E86">
      <w:pPr>
        <w:spacing w:line="240" w:lineRule="auto"/>
        <w:ind w:firstLine="567"/>
        <w:rPr>
          <w:rFonts w:eastAsia="Calibri"/>
          <w:b/>
          <w:sz w:val="28"/>
          <w:szCs w:val="28"/>
          <w:lang w:eastAsia="en-US"/>
        </w:rPr>
      </w:pPr>
      <w:r w:rsidRPr="00D31E86">
        <w:rPr>
          <w:rFonts w:eastAsia="Calibri"/>
          <w:b/>
          <w:sz w:val="28"/>
          <w:szCs w:val="28"/>
          <w:lang w:eastAsia="en-US"/>
        </w:rPr>
        <w:t>Запасы, предлагаемые к лицензированию, рекомендуется переоценить.</w:t>
      </w:r>
    </w:p>
    <w:p w:rsidR="00D31E86" w:rsidRDefault="00D31E86" w:rsidP="006802B6">
      <w:pPr>
        <w:spacing w:line="240" w:lineRule="auto"/>
        <w:ind w:firstLine="567"/>
        <w:rPr>
          <w:rFonts w:eastAsia="Calibri"/>
          <w:b/>
          <w:sz w:val="28"/>
          <w:szCs w:val="28"/>
        </w:rPr>
      </w:pPr>
    </w:p>
    <w:p w:rsidR="00DA2426" w:rsidRPr="0033076A" w:rsidRDefault="00DA2426" w:rsidP="006802B6">
      <w:pPr>
        <w:spacing w:line="240" w:lineRule="auto"/>
        <w:ind w:firstLine="567"/>
        <w:rPr>
          <w:rFonts w:eastAsia="Calibri"/>
          <w:b/>
          <w:sz w:val="28"/>
          <w:szCs w:val="28"/>
        </w:rPr>
      </w:pPr>
      <w:r w:rsidRPr="0033076A">
        <w:rPr>
          <w:rFonts w:eastAsia="Calibri"/>
          <w:b/>
          <w:sz w:val="28"/>
          <w:szCs w:val="28"/>
        </w:rPr>
        <w:t>Форма торгов</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Форма торгов: аукцион в электронной форме, открытый по форме подачи предложений о цене, проводится в отношении одного участка недр. Оператор электронной площадки</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Оператор электронной площадки — юридическое лицо,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Наименование:</w:t>
      </w:r>
      <w:r w:rsidR="003D03D8">
        <w:rPr>
          <w:rFonts w:eastAsia="Calibri"/>
          <w:sz w:val="28"/>
          <w:szCs w:val="28"/>
        </w:rPr>
        <w:t xml:space="preserve"> </w:t>
      </w:r>
      <w:r w:rsidRPr="003817FD">
        <w:rPr>
          <w:rFonts w:eastAsia="Calibri"/>
          <w:sz w:val="28"/>
          <w:szCs w:val="28"/>
        </w:rPr>
        <w:t>общество с ограниченной ответственностью «Электронная торговая площадка ГПБ» (ООО «ЭТ</w:t>
      </w:r>
      <w:r w:rsidR="00751C7C">
        <w:rPr>
          <w:rFonts w:eastAsia="Calibri"/>
          <w:sz w:val="28"/>
          <w:szCs w:val="28"/>
        </w:rPr>
        <w:t>П</w:t>
      </w:r>
      <w:r w:rsidRPr="003817FD">
        <w:rPr>
          <w:rFonts w:eastAsia="Calibri"/>
          <w:sz w:val="28"/>
          <w:szCs w:val="28"/>
        </w:rPr>
        <w:t xml:space="preserve"> ГПБ»)</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Место нахождения: 117342, г. Москва, ул. Миклухо-Маклая, д. 40, подвал, помещение I, ком. 25</w:t>
      </w:r>
    </w:p>
    <w:p w:rsidR="00DA2426" w:rsidRPr="00791879" w:rsidRDefault="00DA2426" w:rsidP="003817FD">
      <w:pPr>
        <w:spacing w:line="240" w:lineRule="auto"/>
        <w:ind w:firstLine="567"/>
        <w:rPr>
          <w:rFonts w:eastAsia="Calibri"/>
          <w:sz w:val="28"/>
          <w:szCs w:val="28"/>
        </w:rPr>
      </w:pPr>
      <w:r w:rsidRPr="003817FD">
        <w:rPr>
          <w:rFonts w:eastAsia="Calibri"/>
          <w:sz w:val="28"/>
          <w:szCs w:val="28"/>
        </w:rPr>
        <w:t>Адрес электронной площадки в</w:t>
      </w:r>
      <w:r w:rsidR="00791879">
        <w:rPr>
          <w:rFonts w:eastAsia="Calibri"/>
          <w:sz w:val="28"/>
          <w:szCs w:val="28"/>
        </w:rPr>
        <w:t xml:space="preserve"> сети Интернет: https://etpgpb.</w:t>
      </w:r>
      <w:proofErr w:type="spellStart"/>
      <w:r w:rsidR="00791879">
        <w:rPr>
          <w:rFonts w:eastAsia="Calibri"/>
          <w:sz w:val="28"/>
          <w:szCs w:val="28"/>
          <w:lang w:val="en-US"/>
        </w:rPr>
        <w:t>ru</w:t>
      </w:r>
      <w:proofErr w:type="spellEnd"/>
    </w:p>
    <w:p w:rsidR="00DA2426" w:rsidRPr="003817FD" w:rsidRDefault="00DA2426" w:rsidP="003817FD">
      <w:pPr>
        <w:spacing w:line="240" w:lineRule="auto"/>
        <w:ind w:firstLine="567"/>
        <w:rPr>
          <w:rFonts w:eastAsia="Calibri"/>
          <w:sz w:val="28"/>
          <w:szCs w:val="28"/>
        </w:rPr>
      </w:pPr>
      <w:r w:rsidRPr="003817FD">
        <w:rPr>
          <w:rFonts w:eastAsia="Calibri"/>
          <w:sz w:val="28"/>
          <w:szCs w:val="28"/>
        </w:rPr>
        <w:t>Тел.:+7 (495) 150-06-61</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Телефон персонального менеджера площадки: 8-495-150-06-61 (техническая поддержка)</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lastRenderedPageBreak/>
        <w:t>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DA2426" w:rsidRPr="005F374C" w:rsidRDefault="00DA2426" w:rsidP="003817FD">
      <w:pPr>
        <w:spacing w:line="240" w:lineRule="auto"/>
        <w:ind w:firstLine="567"/>
        <w:rPr>
          <w:rFonts w:eastAsia="Calibri"/>
          <w:sz w:val="28"/>
          <w:szCs w:val="28"/>
        </w:rPr>
      </w:pPr>
      <w:r w:rsidRPr="003817FD">
        <w:rPr>
          <w:rFonts w:eastAsia="Calibri"/>
          <w:sz w:val="28"/>
          <w:szCs w:val="28"/>
        </w:rPr>
        <w:t xml:space="preserve">Регистрация на электронной площадке </w:t>
      </w:r>
      <w:r w:rsidRPr="005F374C">
        <w:rPr>
          <w:rFonts w:eastAsia="Calibri"/>
          <w:sz w:val="28"/>
          <w:szCs w:val="28"/>
        </w:rPr>
        <w:t>осуществляется круглосуточно.</w:t>
      </w:r>
    </w:p>
    <w:p w:rsidR="00DA2426" w:rsidRPr="005F374C" w:rsidRDefault="00DA2426" w:rsidP="003817FD">
      <w:pPr>
        <w:spacing w:line="240" w:lineRule="auto"/>
        <w:ind w:firstLine="567"/>
        <w:rPr>
          <w:rFonts w:eastAsia="Calibri"/>
          <w:sz w:val="28"/>
          <w:szCs w:val="28"/>
        </w:rPr>
      </w:pPr>
      <w:r w:rsidRPr="005F374C">
        <w:rPr>
          <w:rFonts w:eastAsia="Calibri"/>
          <w:b/>
          <w:sz w:val="28"/>
          <w:szCs w:val="28"/>
        </w:rPr>
        <w:t>Дата и время начала срока подачи заявок:</w:t>
      </w:r>
      <w:r w:rsidR="000342B4" w:rsidRPr="005F374C">
        <w:rPr>
          <w:rFonts w:eastAsia="Calibri"/>
          <w:b/>
          <w:sz w:val="28"/>
          <w:szCs w:val="28"/>
        </w:rPr>
        <w:t xml:space="preserve"> </w:t>
      </w:r>
      <w:r w:rsidR="00D31E86">
        <w:rPr>
          <w:rFonts w:eastAsia="Calibri"/>
          <w:b/>
          <w:sz w:val="28"/>
          <w:szCs w:val="28"/>
        </w:rPr>
        <w:t>11</w:t>
      </w:r>
      <w:r w:rsidR="000369E6">
        <w:rPr>
          <w:rFonts w:eastAsia="Calibri"/>
          <w:b/>
          <w:sz w:val="28"/>
          <w:szCs w:val="28"/>
        </w:rPr>
        <w:t>.</w:t>
      </w:r>
      <w:r w:rsidR="00494786">
        <w:rPr>
          <w:rFonts w:eastAsia="Calibri"/>
          <w:b/>
          <w:sz w:val="28"/>
          <w:szCs w:val="28"/>
        </w:rPr>
        <w:t>0</w:t>
      </w:r>
      <w:r w:rsidR="006F1A1D">
        <w:rPr>
          <w:rFonts w:eastAsia="Calibri"/>
          <w:b/>
          <w:sz w:val="28"/>
          <w:szCs w:val="28"/>
        </w:rPr>
        <w:t>8</w:t>
      </w:r>
      <w:r w:rsidR="006339B3">
        <w:rPr>
          <w:rFonts w:eastAsia="Calibri"/>
          <w:b/>
          <w:sz w:val="28"/>
          <w:szCs w:val="28"/>
        </w:rPr>
        <w:t>.</w:t>
      </w:r>
      <w:r w:rsidR="0033076A" w:rsidRPr="005F374C">
        <w:rPr>
          <w:rFonts w:eastAsia="Calibri"/>
          <w:b/>
          <w:sz w:val="28"/>
          <w:szCs w:val="28"/>
        </w:rPr>
        <w:t>202</w:t>
      </w:r>
      <w:r w:rsidR="00494786">
        <w:rPr>
          <w:rFonts w:eastAsia="Calibri"/>
          <w:b/>
          <w:sz w:val="28"/>
          <w:szCs w:val="28"/>
        </w:rPr>
        <w:t>5</w:t>
      </w:r>
      <w:r w:rsidRPr="005F374C">
        <w:rPr>
          <w:rFonts w:eastAsia="Calibri"/>
          <w:b/>
          <w:sz w:val="28"/>
          <w:szCs w:val="28"/>
        </w:rPr>
        <w:t xml:space="preserve"> в 09 час. 00 мин.</w:t>
      </w:r>
      <w:r w:rsidRPr="005F374C">
        <w:rPr>
          <w:rFonts w:eastAsia="Calibri"/>
          <w:sz w:val="28"/>
          <w:szCs w:val="28"/>
        </w:rPr>
        <w:t xml:space="preserve"> (подача заявок осуществляется круглосуточно)</w:t>
      </w:r>
    </w:p>
    <w:p w:rsidR="00DA2426" w:rsidRPr="005F374C" w:rsidRDefault="00DA2426" w:rsidP="003817FD">
      <w:pPr>
        <w:spacing w:line="240" w:lineRule="auto"/>
        <w:ind w:firstLine="567"/>
        <w:rPr>
          <w:rFonts w:eastAsia="Calibri"/>
          <w:sz w:val="28"/>
          <w:szCs w:val="28"/>
        </w:rPr>
      </w:pPr>
      <w:r w:rsidRPr="005F374C">
        <w:rPr>
          <w:rFonts w:eastAsia="Calibri"/>
          <w:sz w:val="28"/>
          <w:szCs w:val="28"/>
        </w:rPr>
        <w:t xml:space="preserve">Заявки принимаются к регистрации после уплаты задатка и сбора за участие в аукционе до </w:t>
      </w:r>
      <w:r w:rsidRPr="005F374C">
        <w:rPr>
          <w:rFonts w:eastAsia="Calibri"/>
          <w:b/>
          <w:sz w:val="28"/>
          <w:szCs w:val="28"/>
        </w:rPr>
        <w:t>18:00</w:t>
      </w:r>
      <w:r w:rsidRPr="005F374C">
        <w:rPr>
          <w:rFonts w:eastAsia="Calibri"/>
          <w:sz w:val="28"/>
          <w:szCs w:val="28"/>
        </w:rPr>
        <w:t xml:space="preserve"> (местное время) </w:t>
      </w:r>
      <w:r w:rsidR="006F1A1D">
        <w:rPr>
          <w:rFonts w:eastAsia="Calibri"/>
          <w:b/>
          <w:sz w:val="28"/>
          <w:szCs w:val="28"/>
        </w:rPr>
        <w:t>0</w:t>
      </w:r>
      <w:r w:rsidR="00D31E86">
        <w:rPr>
          <w:rFonts w:eastAsia="Calibri"/>
          <w:b/>
          <w:sz w:val="28"/>
          <w:szCs w:val="28"/>
        </w:rPr>
        <w:t>8</w:t>
      </w:r>
      <w:r w:rsidR="0091498E" w:rsidRPr="0091498E">
        <w:rPr>
          <w:rFonts w:eastAsia="Calibri"/>
          <w:b/>
          <w:sz w:val="28"/>
          <w:szCs w:val="28"/>
        </w:rPr>
        <w:t xml:space="preserve"> </w:t>
      </w:r>
      <w:r w:rsidR="006F1A1D">
        <w:rPr>
          <w:rFonts w:eastAsia="Calibri"/>
          <w:b/>
          <w:sz w:val="28"/>
          <w:szCs w:val="28"/>
        </w:rPr>
        <w:t>сентября</w:t>
      </w:r>
      <w:r w:rsidR="0091498E">
        <w:rPr>
          <w:rFonts w:eastAsia="Calibri"/>
          <w:sz w:val="28"/>
          <w:szCs w:val="28"/>
        </w:rPr>
        <w:t xml:space="preserve"> </w:t>
      </w:r>
      <w:r w:rsidRPr="005F374C">
        <w:rPr>
          <w:rFonts w:eastAsia="Calibri"/>
          <w:b/>
          <w:sz w:val="28"/>
          <w:szCs w:val="28"/>
        </w:rPr>
        <w:t>202</w:t>
      </w:r>
      <w:r w:rsidR="00494786">
        <w:rPr>
          <w:rFonts w:eastAsia="Calibri"/>
          <w:b/>
          <w:sz w:val="28"/>
          <w:szCs w:val="28"/>
        </w:rPr>
        <w:t>5</w:t>
      </w:r>
      <w:r w:rsidRPr="005F374C">
        <w:rPr>
          <w:rFonts w:eastAsia="Calibri"/>
          <w:b/>
          <w:sz w:val="28"/>
          <w:szCs w:val="28"/>
        </w:rPr>
        <w:t xml:space="preserve"> года</w:t>
      </w:r>
      <w:r w:rsidRPr="005F374C">
        <w:rPr>
          <w:rFonts w:eastAsia="Calibri"/>
          <w:sz w:val="28"/>
          <w:szCs w:val="28"/>
        </w:rPr>
        <w:t>.</w:t>
      </w:r>
    </w:p>
    <w:p w:rsidR="00DA2426" w:rsidRPr="003817FD" w:rsidRDefault="00DA2426" w:rsidP="006F1A1D">
      <w:pPr>
        <w:spacing w:line="240" w:lineRule="auto"/>
        <w:ind w:firstLine="567"/>
        <w:rPr>
          <w:rFonts w:eastAsia="Calibri"/>
          <w:sz w:val="28"/>
          <w:szCs w:val="28"/>
        </w:rPr>
      </w:pPr>
      <w:r w:rsidRPr="005F374C">
        <w:rPr>
          <w:rFonts w:eastAsia="Calibri"/>
          <w:sz w:val="28"/>
          <w:szCs w:val="28"/>
        </w:rPr>
        <w:t xml:space="preserve">Аукцион на право пользования </w:t>
      </w:r>
      <w:r w:rsidR="0033076A" w:rsidRPr="005F374C">
        <w:rPr>
          <w:rFonts w:eastAsia="Calibri"/>
          <w:sz w:val="28"/>
          <w:szCs w:val="28"/>
          <w:lang w:eastAsia="en-US"/>
        </w:rPr>
        <w:t xml:space="preserve">участком недр </w:t>
      </w:r>
      <w:proofErr w:type="spellStart"/>
      <w:r w:rsidR="009D691A" w:rsidRPr="009D691A">
        <w:rPr>
          <w:rFonts w:eastAsia="Calibri"/>
          <w:sz w:val="28"/>
          <w:szCs w:val="28"/>
          <w:lang w:eastAsia="en-US"/>
        </w:rPr>
        <w:t>руч</w:t>
      </w:r>
      <w:proofErr w:type="spellEnd"/>
      <w:r w:rsidR="009D691A" w:rsidRPr="009D691A">
        <w:rPr>
          <w:rFonts w:eastAsia="Calibri"/>
          <w:sz w:val="28"/>
          <w:szCs w:val="28"/>
          <w:lang w:eastAsia="en-US"/>
        </w:rPr>
        <w:t xml:space="preserve">. </w:t>
      </w:r>
      <w:proofErr w:type="spellStart"/>
      <w:r w:rsidR="009D691A" w:rsidRPr="009D691A">
        <w:rPr>
          <w:rFonts w:eastAsia="Calibri"/>
          <w:sz w:val="28"/>
          <w:szCs w:val="28"/>
          <w:lang w:eastAsia="en-US"/>
        </w:rPr>
        <w:t>Туогучан</w:t>
      </w:r>
      <w:proofErr w:type="spellEnd"/>
      <w:r w:rsidR="009D691A" w:rsidRPr="009D691A">
        <w:rPr>
          <w:rFonts w:eastAsia="Calibri"/>
          <w:sz w:val="28"/>
          <w:szCs w:val="28"/>
          <w:lang w:eastAsia="en-US"/>
        </w:rPr>
        <w:t>, левый приток р. Яна расположенным на территории МО «</w:t>
      </w:r>
      <w:proofErr w:type="spellStart"/>
      <w:r w:rsidR="009D691A" w:rsidRPr="009D691A">
        <w:rPr>
          <w:rFonts w:eastAsia="Calibri"/>
          <w:sz w:val="28"/>
          <w:szCs w:val="28"/>
          <w:lang w:eastAsia="en-US"/>
        </w:rPr>
        <w:t>Усть</w:t>
      </w:r>
      <w:proofErr w:type="spellEnd"/>
      <w:r w:rsidR="009D691A" w:rsidRPr="009D691A">
        <w:rPr>
          <w:rFonts w:eastAsia="Calibri"/>
          <w:sz w:val="28"/>
          <w:szCs w:val="28"/>
          <w:lang w:eastAsia="en-US"/>
        </w:rPr>
        <w:t>-Янский улус (район)»</w:t>
      </w:r>
      <w:r w:rsidR="00F76A65">
        <w:rPr>
          <w:rFonts w:eastAsia="Calibri"/>
          <w:sz w:val="28"/>
          <w:szCs w:val="28"/>
          <w:lang w:eastAsia="en-US"/>
        </w:rPr>
        <w:t xml:space="preserve"> </w:t>
      </w:r>
      <w:r w:rsidR="00D31E86" w:rsidRPr="00D31E86">
        <w:rPr>
          <w:rFonts w:eastAsia="Calibri"/>
          <w:sz w:val="28"/>
          <w:szCs w:val="28"/>
          <w:lang w:eastAsia="en-US"/>
        </w:rPr>
        <w:t xml:space="preserve">Республики Саха (Якутия), для разведки и добычи полезных ископаемых </w:t>
      </w:r>
      <w:r w:rsidRPr="003817FD">
        <w:rPr>
          <w:rFonts w:eastAsia="Calibri"/>
          <w:sz w:val="28"/>
          <w:szCs w:val="28"/>
        </w:rPr>
        <w:t>(далее - Аукцион) проводится на электронной площадке «ЭТП ГПБ» в информационно-телекоммуникационной сети «Интернет» (www.etpgpb.ru), оператором которой является Общество с ограниченной ответственностью «Электронная торговая площадка ГПБ» (далее - электронная площадка).</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 xml:space="preserve">Дата и время проведения аукциона </w:t>
      </w:r>
      <w:r w:rsidR="00D31E86">
        <w:rPr>
          <w:rFonts w:eastAsia="Calibri"/>
          <w:b/>
          <w:sz w:val="28"/>
          <w:szCs w:val="28"/>
        </w:rPr>
        <w:t>29</w:t>
      </w:r>
      <w:r w:rsidR="00494786">
        <w:rPr>
          <w:rFonts w:eastAsia="Calibri"/>
          <w:b/>
          <w:sz w:val="28"/>
          <w:szCs w:val="28"/>
        </w:rPr>
        <w:t>.0</w:t>
      </w:r>
      <w:r w:rsidR="006F1A1D">
        <w:rPr>
          <w:rFonts w:eastAsia="Calibri"/>
          <w:b/>
          <w:sz w:val="28"/>
          <w:szCs w:val="28"/>
        </w:rPr>
        <w:t>9</w:t>
      </w:r>
      <w:r w:rsidR="00494786">
        <w:rPr>
          <w:rFonts w:eastAsia="Calibri"/>
          <w:b/>
          <w:sz w:val="28"/>
          <w:szCs w:val="28"/>
        </w:rPr>
        <w:t>.</w:t>
      </w:r>
      <w:r w:rsidR="000342B4" w:rsidRPr="005F374C">
        <w:rPr>
          <w:rFonts w:eastAsia="Calibri"/>
          <w:b/>
          <w:sz w:val="28"/>
          <w:szCs w:val="28"/>
        </w:rPr>
        <w:t>202</w:t>
      </w:r>
      <w:r w:rsidR="00494786">
        <w:rPr>
          <w:rFonts w:eastAsia="Calibri"/>
          <w:b/>
          <w:sz w:val="28"/>
          <w:szCs w:val="28"/>
        </w:rPr>
        <w:t xml:space="preserve">5, </w:t>
      </w:r>
      <w:r w:rsidRPr="005F374C">
        <w:rPr>
          <w:rFonts w:eastAsia="Calibri"/>
          <w:b/>
          <w:sz w:val="28"/>
          <w:szCs w:val="28"/>
        </w:rPr>
        <w:t>1</w:t>
      </w:r>
      <w:r w:rsidR="006F1A1D">
        <w:rPr>
          <w:rFonts w:eastAsia="Calibri"/>
          <w:b/>
          <w:sz w:val="28"/>
          <w:szCs w:val="28"/>
        </w:rPr>
        <w:t>4</w:t>
      </w:r>
      <w:r w:rsidRPr="005F374C">
        <w:rPr>
          <w:rFonts w:eastAsia="Calibri"/>
          <w:b/>
          <w:sz w:val="28"/>
          <w:szCs w:val="28"/>
        </w:rPr>
        <w:t xml:space="preserve"> ч. 00 мин.</w:t>
      </w:r>
      <w:r w:rsidRPr="005F374C">
        <w:rPr>
          <w:rFonts w:eastAsia="Calibri"/>
          <w:sz w:val="28"/>
          <w:szCs w:val="28"/>
        </w:rPr>
        <w:t xml:space="preserve"> (местное время).</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Почтовый адрес и контактные телефоны, адрес электронной почты организатора аукциона:</w:t>
      </w:r>
    </w:p>
    <w:p w:rsidR="00DA2426" w:rsidRPr="0033076A" w:rsidRDefault="00DA2426" w:rsidP="003817FD">
      <w:pPr>
        <w:spacing w:line="240" w:lineRule="auto"/>
        <w:ind w:firstLine="567"/>
        <w:rPr>
          <w:rFonts w:eastAsia="Calibri"/>
          <w:b/>
          <w:sz w:val="28"/>
          <w:szCs w:val="28"/>
        </w:rPr>
      </w:pPr>
      <w:r w:rsidRPr="003817FD">
        <w:rPr>
          <w:rFonts w:eastAsia="Calibri"/>
          <w:sz w:val="28"/>
          <w:szCs w:val="28"/>
        </w:rPr>
        <w:t xml:space="preserve">- </w:t>
      </w:r>
      <w:r w:rsidRPr="0033076A">
        <w:rPr>
          <w:rFonts w:eastAsia="Calibri"/>
          <w:b/>
          <w:sz w:val="28"/>
          <w:szCs w:val="28"/>
        </w:rPr>
        <w:t>677018, Республика Саха (Якутия), г. Якутск, ул. Аммосова, 18, офис 308. телефон:</w:t>
      </w:r>
      <w:r w:rsidR="00A0091F">
        <w:rPr>
          <w:rFonts w:eastAsia="Calibri"/>
          <w:b/>
          <w:sz w:val="28"/>
          <w:szCs w:val="28"/>
        </w:rPr>
        <w:t xml:space="preserve"> </w:t>
      </w:r>
      <w:r w:rsidR="006802B6">
        <w:rPr>
          <w:rFonts w:eastAsia="Calibri"/>
          <w:b/>
          <w:sz w:val="28"/>
          <w:szCs w:val="28"/>
        </w:rPr>
        <w:t>+7 (4112) 31-93-10 (доб. 21</w:t>
      </w:r>
      <w:r w:rsidR="0083021C" w:rsidRPr="0083021C">
        <w:rPr>
          <w:rFonts w:eastAsia="Calibri"/>
          <w:b/>
          <w:sz w:val="28"/>
          <w:szCs w:val="28"/>
        </w:rPr>
        <w:t>4), 31-93-10 (доб. 204)</w:t>
      </w:r>
      <w:r w:rsidR="00484915">
        <w:rPr>
          <w:rFonts w:eastAsia="Calibri"/>
          <w:b/>
          <w:sz w:val="28"/>
          <w:szCs w:val="28"/>
        </w:rPr>
        <w:t xml:space="preserve"> </w:t>
      </w:r>
      <w:r w:rsidRPr="0033076A">
        <w:rPr>
          <w:rFonts w:eastAsia="Calibri"/>
          <w:b/>
          <w:sz w:val="28"/>
          <w:szCs w:val="28"/>
        </w:rPr>
        <w:t>e-</w:t>
      </w:r>
      <w:proofErr w:type="spellStart"/>
      <w:r w:rsidRPr="0033076A">
        <w:rPr>
          <w:rFonts w:eastAsia="Calibri"/>
          <w:b/>
          <w:sz w:val="28"/>
          <w:szCs w:val="28"/>
        </w:rPr>
        <w:t>mail</w:t>
      </w:r>
      <w:proofErr w:type="spellEnd"/>
      <w:r w:rsidRPr="0033076A">
        <w:rPr>
          <w:rFonts w:eastAsia="Calibri"/>
          <w:b/>
          <w:sz w:val="28"/>
          <w:szCs w:val="28"/>
        </w:rPr>
        <w:t>:</w:t>
      </w:r>
      <w:r w:rsidR="00A0091F">
        <w:rPr>
          <w:rFonts w:eastAsia="Calibri"/>
          <w:b/>
          <w:sz w:val="28"/>
          <w:szCs w:val="28"/>
        </w:rPr>
        <w:t xml:space="preserve"> </w:t>
      </w:r>
      <w:r w:rsidRPr="0033076A">
        <w:rPr>
          <w:rFonts w:eastAsia="Calibri"/>
          <w:b/>
          <w:sz w:val="28"/>
          <w:szCs w:val="28"/>
        </w:rPr>
        <w:t>yakutsk@rosnedra.gov.ru;</w:t>
      </w:r>
    </w:p>
    <w:p w:rsidR="00DA2426" w:rsidRDefault="00DA2426" w:rsidP="003817FD">
      <w:pPr>
        <w:spacing w:line="240" w:lineRule="auto"/>
        <w:ind w:firstLine="567"/>
        <w:rPr>
          <w:rFonts w:eastAsia="Calibri"/>
          <w:sz w:val="28"/>
          <w:szCs w:val="28"/>
        </w:rPr>
      </w:pPr>
      <w:r w:rsidRPr="003817FD">
        <w:rPr>
          <w:rFonts w:eastAsia="Calibri"/>
          <w:sz w:val="28"/>
          <w:szCs w:val="28"/>
        </w:rPr>
        <w:t xml:space="preserve">Адрес электронной почты оператора электронной площадки: </w:t>
      </w:r>
      <w:hyperlink r:id="rId5" w:history="1">
        <w:r w:rsidR="00B32331" w:rsidRPr="00457EAA">
          <w:rPr>
            <w:rStyle w:val="a7"/>
            <w:rFonts w:eastAsia="Calibri"/>
            <w:b/>
            <w:sz w:val="28"/>
            <w:szCs w:val="28"/>
          </w:rPr>
          <w:t>info@etpgpb.ru</w:t>
        </w:r>
      </w:hyperlink>
      <w:r w:rsidRPr="003817FD">
        <w:rPr>
          <w:rFonts w:eastAsia="Calibri"/>
          <w:sz w:val="28"/>
          <w:szCs w:val="28"/>
        </w:rPr>
        <w:t>.</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 xml:space="preserve">Размер сбора за участие в аукционе </w:t>
      </w:r>
      <w:r w:rsidR="006F1A1D" w:rsidRPr="006F1A1D">
        <w:rPr>
          <w:b/>
          <w:sz w:val="28"/>
          <w:szCs w:val="28"/>
        </w:rPr>
        <w:t>161 713 руб. (сто шестьдесят одна тысяча семьсот тринадцать рублей)</w:t>
      </w:r>
      <w:r w:rsidR="00C216A1">
        <w:rPr>
          <w:b/>
          <w:sz w:val="28"/>
          <w:szCs w:val="28"/>
        </w:rPr>
        <w:t>.</w:t>
      </w:r>
    </w:p>
    <w:p w:rsidR="00DA2426" w:rsidRPr="003817FD" w:rsidRDefault="00DA2426" w:rsidP="003817FD">
      <w:pPr>
        <w:spacing w:line="240" w:lineRule="auto"/>
        <w:ind w:firstLine="567"/>
        <w:rPr>
          <w:rFonts w:eastAsia="Calibri"/>
          <w:sz w:val="28"/>
          <w:szCs w:val="28"/>
        </w:rPr>
      </w:pPr>
      <w:r w:rsidRPr="003817FD">
        <w:rPr>
          <w:rFonts w:eastAsia="Calibri"/>
          <w:sz w:val="28"/>
          <w:szCs w:val="28"/>
        </w:rPr>
        <w:t xml:space="preserve">Минимальный (стартовый) размер разового платежа за пользование недрами </w:t>
      </w:r>
      <w:r w:rsidR="009D691A" w:rsidRPr="009D691A">
        <w:rPr>
          <w:rFonts w:eastAsia="Calibri"/>
          <w:b/>
          <w:bCs/>
          <w:sz w:val="28"/>
          <w:szCs w:val="28"/>
        </w:rPr>
        <w:t>4 861 107,60 (четыре миллиона восемьсот шестьдесят одна тысяча сто семь рублей шестьдесят копеек)</w:t>
      </w:r>
      <w:r w:rsidR="00D80F78">
        <w:rPr>
          <w:rFonts w:eastAsia="Calibri"/>
          <w:b/>
          <w:bCs/>
          <w:sz w:val="28"/>
          <w:szCs w:val="28"/>
        </w:rPr>
        <w:t>.</w:t>
      </w:r>
    </w:p>
    <w:p w:rsidR="00123913" w:rsidRDefault="00DA2426" w:rsidP="00A0091F">
      <w:pPr>
        <w:spacing w:line="240" w:lineRule="auto"/>
        <w:ind w:firstLine="567"/>
        <w:rPr>
          <w:rFonts w:eastAsia="Calibri"/>
          <w:b/>
          <w:sz w:val="28"/>
          <w:szCs w:val="28"/>
        </w:rPr>
      </w:pPr>
      <w:r w:rsidRPr="003817FD">
        <w:rPr>
          <w:rFonts w:eastAsia="Calibri"/>
          <w:sz w:val="28"/>
          <w:szCs w:val="28"/>
        </w:rPr>
        <w:t xml:space="preserve">Размер «шага аукциона» равен 10 процентам величины минимального (стартового) размера разового платежа за пользование недрами и составляет </w:t>
      </w:r>
      <w:r w:rsidR="009D691A" w:rsidRPr="009D691A">
        <w:rPr>
          <w:rFonts w:eastAsia="Calibri"/>
          <w:b/>
          <w:sz w:val="28"/>
          <w:szCs w:val="28"/>
        </w:rPr>
        <w:t>486 110,76 (четыреста восемьдесят шесть тысяч сто десять рублей семьдесят шесть копеек)</w:t>
      </w:r>
      <w:r w:rsidR="00D80F78" w:rsidRPr="00D80F78">
        <w:rPr>
          <w:rFonts w:eastAsia="Calibri"/>
          <w:b/>
          <w:sz w:val="28"/>
          <w:szCs w:val="28"/>
        </w:rPr>
        <w:t>.</w:t>
      </w:r>
    </w:p>
    <w:p w:rsidR="00C47DDB" w:rsidRDefault="00DA2426" w:rsidP="00A0091F">
      <w:pPr>
        <w:spacing w:line="240" w:lineRule="auto"/>
        <w:ind w:firstLine="567"/>
        <w:rPr>
          <w:rFonts w:eastAsia="Calibri"/>
          <w:sz w:val="28"/>
          <w:szCs w:val="28"/>
        </w:rPr>
      </w:pPr>
      <w:r w:rsidRPr="003817FD">
        <w:rPr>
          <w:rFonts w:eastAsia="Calibri"/>
          <w:sz w:val="28"/>
          <w:szCs w:val="28"/>
        </w:rPr>
        <w:t>Объявление размещено на официальном сайте Российской Федерации</w:t>
      </w:r>
    </w:p>
    <w:p w:rsidR="009D691A" w:rsidRDefault="009D691A" w:rsidP="00A0091F">
      <w:pPr>
        <w:spacing w:line="240" w:lineRule="auto"/>
        <w:ind w:firstLine="567"/>
        <w:rPr>
          <w:rFonts w:eastAsia="Calibri"/>
          <w:sz w:val="28"/>
          <w:szCs w:val="28"/>
        </w:rPr>
      </w:pPr>
      <w:hyperlink r:id="rId6" w:history="1">
        <w:r w:rsidRPr="005B1CD0">
          <w:rPr>
            <w:rStyle w:val="a7"/>
            <w:rFonts w:eastAsia="Calibri"/>
            <w:sz w:val="28"/>
            <w:szCs w:val="28"/>
          </w:rPr>
          <w:t>https://torgi.gov.ru/new/private/notice/view/689544bf30d201790e3d5389/22000049380000000102</w:t>
        </w:r>
      </w:hyperlink>
      <w:r>
        <w:rPr>
          <w:rFonts w:eastAsia="Calibri"/>
          <w:sz w:val="28"/>
          <w:szCs w:val="28"/>
        </w:rPr>
        <w:t xml:space="preserve"> </w:t>
      </w:r>
    </w:p>
    <w:p w:rsidR="00494786" w:rsidRPr="00494786" w:rsidRDefault="00494786" w:rsidP="00A0091F">
      <w:pPr>
        <w:spacing w:line="240" w:lineRule="auto"/>
        <w:ind w:firstLine="567"/>
        <w:rPr>
          <w:sz w:val="28"/>
          <w:szCs w:val="28"/>
        </w:rPr>
      </w:pPr>
      <w:bookmarkStart w:id="0" w:name="_GoBack"/>
      <w:bookmarkEnd w:id="0"/>
    </w:p>
    <w:sectPr w:rsidR="00494786" w:rsidRPr="00494786" w:rsidSect="00717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hybridMultilevel"/>
    <w:tmpl w:val="CBC85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A62FA4"/>
    <w:multiLevelType w:val="multilevel"/>
    <w:tmpl w:val="3AA62F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44"/>
    <w:rsid w:val="00005C86"/>
    <w:rsid w:val="000342B4"/>
    <w:rsid w:val="000369E6"/>
    <w:rsid w:val="00047AA0"/>
    <w:rsid w:val="00047E14"/>
    <w:rsid w:val="00055160"/>
    <w:rsid w:val="000A48E7"/>
    <w:rsid w:val="000D4EA7"/>
    <w:rsid w:val="000F2355"/>
    <w:rsid w:val="00123913"/>
    <w:rsid w:val="00156B99"/>
    <w:rsid w:val="001600BF"/>
    <w:rsid w:val="001A15F4"/>
    <w:rsid w:val="001F10BA"/>
    <w:rsid w:val="00297BF2"/>
    <w:rsid w:val="002B44E0"/>
    <w:rsid w:val="002C125F"/>
    <w:rsid w:val="002C3F29"/>
    <w:rsid w:val="002E097C"/>
    <w:rsid w:val="00320512"/>
    <w:rsid w:val="0033076A"/>
    <w:rsid w:val="003527BE"/>
    <w:rsid w:val="0036272B"/>
    <w:rsid w:val="00380014"/>
    <w:rsid w:val="003817FD"/>
    <w:rsid w:val="00394A24"/>
    <w:rsid w:val="003A1CCD"/>
    <w:rsid w:val="003A5F19"/>
    <w:rsid w:val="003D03D8"/>
    <w:rsid w:val="003D22C3"/>
    <w:rsid w:val="003D6B6C"/>
    <w:rsid w:val="003E5F49"/>
    <w:rsid w:val="00414831"/>
    <w:rsid w:val="00433B9D"/>
    <w:rsid w:val="00451131"/>
    <w:rsid w:val="0045603C"/>
    <w:rsid w:val="00484915"/>
    <w:rsid w:val="00493754"/>
    <w:rsid w:val="00494786"/>
    <w:rsid w:val="004A1AC8"/>
    <w:rsid w:val="004B16FB"/>
    <w:rsid w:val="004B5E4C"/>
    <w:rsid w:val="004F0358"/>
    <w:rsid w:val="00505842"/>
    <w:rsid w:val="0051254A"/>
    <w:rsid w:val="00557B57"/>
    <w:rsid w:val="005A1144"/>
    <w:rsid w:val="005C108C"/>
    <w:rsid w:val="005C597E"/>
    <w:rsid w:val="005F2DDC"/>
    <w:rsid w:val="005F374C"/>
    <w:rsid w:val="006017DD"/>
    <w:rsid w:val="00602906"/>
    <w:rsid w:val="0061545E"/>
    <w:rsid w:val="0062764E"/>
    <w:rsid w:val="006339B3"/>
    <w:rsid w:val="0063674E"/>
    <w:rsid w:val="00636FDB"/>
    <w:rsid w:val="00643F1A"/>
    <w:rsid w:val="006802B6"/>
    <w:rsid w:val="00683338"/>
    <w:rsid w:val="00697C98"/>
    <w:rsid w:val="006A270D"/>
    <w:rsid w:val="006A4DDA"/>
    <w:rsid w:val="006D6A72"/>
    <w:rsid w:val="006E0318"/>
    <w:rsid w:val="006E4C74"/>
    <w:rsid w:val="006F1A1D"/>
    <w:rsid w:val="00717061"/>
    <w:rsid w:val="007249F6"/>
    <w:rsid w:val="0073509A"/>
    <w:rsid w:val="007518B9"/>
    <w:rsid w:val="00751C7C"/>
    <w:rsid w:val="007539E5"/>
    <w:rsid w:val="00763558"/>
    <w:rsid w:val="007668E5"/>
    <w:rsid w:val="00784ADB"/>
    <w:rsid w:val="007851DF"/>
    <w:rsid w:val="00791879"/>
    <w:rsid w:val="007D2162"/>
    <w:rsid w:val="008059EF"/>
    <w:rsid w:val="008267B1"/>
    <w:rsid w:val="0083021C"/>
    <w:rsid w:val="00896E12"/>
    <w:rsid w:val="008E13DA"/>
    <w:rsid w:val="008E44F1"/>
    <w:rsid w:val="0091498E"/>
    <w:rsid w:val="0093201D"/>
    <w:rsid w:val="0094278D"/>
    <w:rsid w:val="00944D44"/>
    <w:rsid w:val="00964A6B"/>
    <w:rsid w:val="00965875"/>
    <w:rsid w:val="00982985"/>
    <w:rsid w:val="00985D5A"/>
    <w:rsid w:val="009D691A"/>
    <w:rsid w:val="009E4192"/>
    <w:rsid w:val="00A0091F"/>
    <w:rsid w:val="00A1566E"/>
    <w:rsid w:val="00A2472A"/>
    <w:rsid w:val="00A632A0"/>
    <w:rsid w:val="00A80CA1"/>
    <w:rsid w:val="00A9102E"/>
    <w:rsid w:val="00A92222"/>
    <w:rsid w:val="00A93B39"/>
    <w:rsid w:val="00AA3A8F"/>
    <w:rsid w:val="00AD0D9D"/>
    <w:rsid w:val="00AF1F20"/>
    <w:rsid w:val="00B1166D"/>
    <w:rsid w:val="00B144D0"/>
    <w:rsid w:val="00B31703"/>
    <w:rsid w:val="00B32331"/>
    <w:rsid w:val="00B37A5D"/>
    <w:rsid w:val="00B60F20"/>
    <w:rsid w:val="00B923A5"/>
    <w:rsid w:val="00B948D7"/>
    <w:rsid w:val="00BC508E"/>
    <w:rsid w:val="00BE16D1"/>
    <w:rsid w:val="00BF186B"/>
    <w:rsid w:val="00C131D8"/>
    <w:rsid w:val="00C216A1"/>
    <w:rsid w:val="00C272AB"/>
    <w:rsid w:val="00C47DDB"/>
    <w:rsid w:val="00C6740E"/>
    <w:rsid w:val="00CA43E9"/>
    <w:rsid w:val="00CE61A5"/>
    <w:rsid w:val="00CF52B0"/>
    <w:rsid w:val="00D212AE"/>
    <w:rsid w:val="00D21FE0"/>
    <w:rsid w:val="00D31E86"/>
    <w:rsid w:val="00D72184"/>
    <w:rsid w:val="00D80F78"/>
    <w:rsid w:val="00D9799A"/>
    <w:rsid w:val="00DA2426"/>
    <w:rsid w:val="00DB19ED"/>
    <w:rsid w:val="00DC1FB6"/>
    <w:rsid w:val="00E316A3"/>
    <w:rsid w:val="00E37468"/>
    <w:rsid w:val="00E42F99"/>
    <w:rsid w:val="00EB1E13"/>
    <w:rsid w:val="00EC5F1C"/>
    <w:rsid w:val="00EC6556"/>
    <w:rsid w:val="00ED423E"/>
    <w:rsid w:val="00EE3C62"/>
    <w:rsid w:val="00F0118C"/>
    <w:rsid w:val="00F06F60"/>
    <w:rsid w:val="00F228CB"/>
    <w:rsid w:val="00F57269"/>
    <w:rsid w:val="00F745DF"/>
    <w:rsid w:val="00F76A65"/>
    <w:rsid w:val="00FA28C6"/>
    <w:rsid w:val="00FB3D2A"/>
    <w:rsid w:val="00FC392B"/>
    <w:rsid w:val="00FC6FE4"/>
    <w:rsid w:val="00FD5A91"/>
    <w:rsid w:val="00FD6522"/>
    <w:rsid w:val="00FE33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3D7DD-805C-492F-8F31-59203B7A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44"/>
    <w:pPr>
      <w:widowControl w:val="0"/>
      <w:spacing w:line="340" w:lineRule="auto"/>
      <w:ind w:firstLine="560"/>
      <w:jc w:val="both"/>
    </w:pPr>
    <w:rPr>
      <w:rFonts w:ascii="Times New Roman" w:eastAsia="Times New Roman" w:hAnsi="Times New Roman"/>
    </w:rPr>
  </w:style>
  <w:style w:type="paragraph" w:styleId="1">
    <w:name w:val="heading 1"/>
    <w:basedOn w:val="a"/>
    <w:next w:val="a"/>
    <w:link w:val="10"/>
    <w:qFormat/>
    <w:rsid w:val="00DC1FB6"/>
    <w:pPr>
      <w:keepNext/>
      <w:autoSpaceDE w:val="0"/>
      <w:autoSpaceDN w:val="0"/>
      <w:adjustRightInd w:val="0"/>
      <w:spacing w:before="240" w:after="60" w:line="240" w:lineRule="auto"/>
      <w:ind w:firstLine="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rsid w:val="003E5F49"/>
    <w:pPr>
      <w:widowControl/>
      <w:spacing w:line="240" w:lineRule="auto"/>
      <w:ind w:left="708" w:firstLine="0"/>
      <w:jc w:val="left"/>
    </w:pPr>
    <w:rPr>
      <w:sz w:val="26"/>
      <w:szCs w:val="26"/>
    </w:rPr>
  </w:style>
  <w:style w:type="character" w:customStyle="1" w:styleId="a4">
    <w:name w:val="Обычный отступ Знак"/>
    <w:link w:val="a3"/>
    <w:rsid w:val="003E5F49"/>
    <w:rPr>
      <w:rFonts w:ascii="Times New Roman" w:eastAsia="Times New Roman" w:hAnsi="Times New Roman"/>
      <w:sz w:val="26"/>
      <w:szCs w:val="26"/>
    </w:rPr>
  </w:style>
  <w:style w:type="paragraph" w:customStyle="1" w:styleId="Style15">
    <w:name w:val="Style15"/>
    <w:basedOn w:val="a"/>
    <w:rsid w:val="003E5F49"/>
    <w:pPr>
      <w:autoSpaceDE w:val="0"/>
      <w:autoSpaceDN w:val="0"/>
      <w:adjustRightInd w:val="0"/>
      <w:spacing w:line="274" w:lineRule="exact"/>
      <w:ind w:firstLine="720"/>
    </w:pPr>
    <w:rPr>
      <w:sz w:val="24"/>
      <w:szCs w:val="24"/>
    </w:rPr>
  </w:style>
  <w:style w:type="paragraph" w:customStyle="1" w:styleId="a5">
    <w:name w:val="Рядовой текст отчета"/>
    <w:basedOn w:val="a"/>
    <w:link w:val="a6"/>
    <w:rsid w:val="003E5F49"/>
    <w:pPr>
      <w:widowControl/>
      <w:spacing w:line="288" w:lineRule="auto"/>
      <w:ind w:firstLine="567"/>
    </w:pPr>
    <w:rPr>
      <w:sz w:val="24"/>
    </w:rPr>
  </w:style>
  <w:style w:type="character" w:customStyle="1" w:styleId="a6">
    <w:name w:val="Рядовой текст отчета Знак"/>
    <w:link w:val="a5"/>
    <w:rsid w:val="003E5F49"/>
    <w:rPr>
      <w:rFonts w:ascii="Times New Roman" w:eastAsia="Times New Roman" w:hAnsi="Times New Roman"/>
      <w:sz w:val="24"/>
    </w:rPr>
  </w:style>
  <w:style w:type="character" w:styleId="a7">
    <w:name w:val="Hyperlink"/>
    <w:uiPriority w:val="99"/>
    <w:unhideWhenUsed/>
    <w:rsid w:val="00982985"/>
    <w:rPr>
      <w:color w:val="0563C1"/>
      <w:u w:val="single"/>
    </w:rPr>
  </w:style>
  <w:style w:type="paragraph" w:customStyle="1" w:styleId="FR1">
    <w:name w:val="FR1"/>
    <w:rsid w:val="00982985"/>
    <w:pPr>
      <w:widowControl w:val="0"/>
      <w:autoSpaceDE w:val="0"/>
      <w:autoSpaceDN w:val="0"/>
      <w:adjustRightInd w:val="0"/>
      <w:jc w:val="both"/>
    </w:pPr>
    <w:rPr>
      <w:rFonts w:ascii="Arial" w:eastAsia="Times New Roman" w:hAnsi="Arial" w:cs="Arial"/>
      <w:noProof/>
    </w:rPr>
  </w:style>
  <w:style w:type="paragraph" w:styleId="a8">
    <w:name w:val="Body Text"/>
    <w:basedOn w:val="a"/>
    <w:link w:val="a9"/>
    <w:uiPriority w:val="99"/>
    <w:rsid w:val="00E42F99"/>
    <w:pPr>
      <w:widowControl/>
      <w:spacing w:line="240" w:lineRule="auto"/>
      <w:ind w:firstLine="0"/>
    </w:pPr>
    <w:rPr>
      <w:rFonts w:ascii="Arial" w:hAnsi="Arial" w:cs="Arial"/>
      <w:sz w:val="24"/>
      <w:szCs w:val="24"/>
    </w:rPr>
  </w:style>
  <w:style w:type="character" w:customStyle="1" w:styleId="a9">
    <w:name w:val="Основной текст Знак"/>
    <w:link w:val="a8"/>
    <w:uiPriority w:val="99"/>
    <w:rsid w:val="00E42F99"/>
    <w:rPr>
      <w:rFonts w:ascii="Arial" w:eastAsia="Times New Roman" w:hAnsi="Arial" w:cs="Arial"/>
      <w:sz w:val="24"/>
      <w:szCs w:val="24"/>
    </w:rPr>
  </w:style>
  <w:style w:type="paragraph" w:styleId="2">
    <w:name w:val="Body Text 2"/>
    <w:basedOn w:val="a"/>
    <w:link w:val="20"/>
    <w:rsid w:val="00E42F99"/>
    <w:pPr>
      <w:autoSpaceDE w:val="0"/>
      <w:autoSpaceDN w:val="0"/>
      <w:adjustRightInd w:val="0"/>
      <w:spacing w:after="120" w:line="480" w:lineRule="auto"/>
      <w:ind w:firstLine="0"/>
      <w:jc w:val="left"/>
    </w:pPr>
    <w:rPr>
      <w:b/>
      <w:bCs/>
    </w:rPr>
  </w:style>
  <w:style w:type="character" w:customStyle="1" w:styleId="20">
    <w:name w:val="Основной текст 2 Знак"/>
    <w:link w:val="2"/>
    <w:rsid w:val="00E42F99"/>
    <w:rPr>
      <w:rFonts w:ascii="Times New Roman" w:eastAsia="Times New Roman" w:hAnsi="Times New Roman"/>
      <w:b/>
      <w:bCs/>
    </w:rPr>
  </w:style>
  <w:style w:type="paragraph" w:styleId="aa">
    <w:name w:val="Normal (Web)"/>
    <w:basedOn w:val="a"/>
    <w:rsid w:val="00E42F99"/>
    <w:pPr>
      <w:widowControl/>
      <w:spacing w:before="100" w:beforeAutospacing="1" w:after="100" w:afterAutospacing="1" w:line="240" w:lineRule="auto"/>
      <w:ind w:firstLine="0"/>
      <w:jc w:val="left"/>
    </w:pPr>
    <w:rPr>
      <w:sz w:val="24"/>
      <w:szCs w:val="24"/>
    </w:rPr>
  </w:style>
  <w:style w:type="paragraph" w:styleId="ab">
    <w:name w:val="Block Text"/>
    <w:basedOn w:val="a"/>
    <w:rsid w:val="00E42F99"/>
    <w:pPr>
      <w:widowControl/>
      <w:spacing w:line="240" w:lineRule="auto"/>
      <w:ind w:left="284" w:right="332" w:firstLine="567"/>
      <w:jc w:val="left"/>
    </w:pPr>
    <w:rPr>
      <w:sz w:val="24"/>
      <w:szCs w:val="24"/>
    </w:rPr>
  </w:style>
  <w:style w:type="character" w:customStyle="1" w:styleId="21">
    <w:name w:val="Основной текст (2)"/>
    <w:rsid w:val="00055160"/>
    <w:rPr>
      <w:rFonts w:ascii="Times New Roman" w:eastAsia="Times New Roman" w:hAnsi="Times New Roman" w:cs="Times New Roman"/>
      <w:b w:val="0"/>
      <w:bCs w:val="0"/>
      <w:i w:val="0"/>
      <w:iCs w:val="0"/>
      <w:smallCaps w:val="0"/>
      <w:strike w:val="0"/>
      <w:color w:val="1B1720"/>
      <w:spacing w:val="0"/>
      <w:w w:val="100"/>
      <w:position w:val="0"/>
      <w:sz w:val="22"/>
      <w:szCs w:val="22"/>
      <w:u w:val="none"/>
      <w:lang w:val="ru-RU" w:eastAsia="ru-RU" w:bidi="ru-RU"/>
    </w:rPr>
  </w:style>
  <w:style w:type="character" w:customStyle="1" w:styleId="5">
    <w:name w:val="Основной текст (5)"/>
    <w:rsid w:val="00055160"/>
    <w:rPr>
      <w:rFonts w:ascii="Times New Roman" w:eastAsia="Times New Roman" w:hAnsi="Times New Roman" w:cs="Times New Roman"/>
      <w:b/>
      <w:bCs/>
      <w:i/>
      <w:iCs/>
      <w:smallCaps w:val="0"/>
      <w:strike w:val="0"/>
      <w:color w:val="2F2F2F"/>
      <w:spacing w:val="0"/>
      <w:w w:val="100"/>
      <w:position w:val="0"/>
      <w:sz w:val="22"/>
      <w:szCs w:val="22"/>
      <w:u w:val="none"/>
      <w:lang w:val="ru-RU" w:eastAsia="ru-RU" w:bidi="ru-RU"/>
    </w:rPr>
  </w:style>
  <w:style w:type="character" w:customStyle="1" w:styleId="52pt">
    <w:name w:val="Основной текст (5) + Интервал 2 pt"/>
    <w:rsid w:val="00055160"/>
    <w:rPr>
      <w:rFonts w:ascii="Times New Roman" w:eastAsia="Times New Roman" w:hAnsi="Times New Roman" w:cs="Times New Roman"/>
      <w:b/>
      <w:bCs/>
      <w:i/>
      <w:iCs/>
      <w:smallCaps w:val="0"/>
      <w:strike w:val="0"/>
      <w:color w:val="2F2F2F"/>
      <w:spacing w:val="40"/>
      <w:w w:val="100"/>
      <w:position w:val="0"/>
      <w:sz w:val="22"/>
      <w:szCs w:val="22"/>
      <w:u w:val="none"/>
      <w:lang w:val="ru-RU" w:eastAsia="ru-RU" w:bidi="ru-RU"/>
    </w:rPr>
  </w:style>
  <w:style w:type="paragraph" w:styleId="3">
    <w:name w:val="Body Text Indent 3"/>
    <w:basedOn w:val="a"/>
    <w:link w:val="30"/>
    <w:rsid w:val="001A15F4"/>
    <w:pPr>
      <w:spacing w:after="120"/>
      <w:ind w:left="283"/>
    </w:pPr>
    <w:rPr>
      <w:sz w:val="16"/>
      <w:szCs w:val="16"/>
    </w:rPr>
  </w:style>
  <w:style w:type="character" w:customStyle="1" w:styleId="30">
    <w:name w:val="Основной текст с отступом 3 Знак"/>
    <w:link w:val="3"/>
    <w:rsid w:val="001A15F4"/>
    <w:rPr>
      <w:rFonts w:ascii="Times New Roman" w:eastAsia="Times New Roman" w:hAnsi="Times New Roman"/>
      <w:sz w:val="16"/>
      <w:szCs w:val="16"/>
    </w:rPr>
  </w:style>
  <w:style w:type="character" w:customStyle="1" w:styleId="10">
    <w:name w:val="Заголовок 1 Знак"/>
    <w:link w:val="1"/>
    <w:rsid w:val="00DC1FB6"/>
    <w:rPr>
      <w:rFonts w:ascii="Arial" w:eastAsia="Times New Roman" w:hAnsi="Arial" w:cs="Arial"/>
      <w:b/>
      <w:bCs/>
      <w:kern w:val="32"/>
      <w:sz w:val="32"/>
      <w:szCs w:val="32"/>
    </w:rPr>
  </w:style>
  <w:style w:type="character" w:customStyle="1" w:styleId="FontStyle111">
    <w:name w:val="Font Style111"/>
    <w:rsid w:val="00DC1FB6"/>
    <w:rPr>
      <w:rFonts w:ascii="Times New Roman" w:hAnsi="Times New Roman" w:cs="Times New Roman"/>
      <w:b/>
      <w:bCs/>
      <w:sz w:val="22"/>
      <w:szCs w:val="22"/>
    </w:rPr>
  </w:style>
  <w:style w:type="character" w:customStyle="1" w:styleId="FontStyle20">
    <w:name w:val="Font Style20"/>
    <w:uiPriority w:val="99"/>
    <w:rsid w:val="000D4EA7"/>
    <w:rPr>
      <w:rFonts w:ascii="Times New Roman" w:hAnsi="Times New Roman" w:cs="Times New Roman"/>
      <w:b/>
      <w:bCs/>
      <w:sz w:val="22"/>
      <w:szCs w:val="22"/>
    </w:rPr>
  </w:style>
  <w:style w:type="paragraph" w:customStyle="1" w:styleId="Style49">
    <w:name w:val="Style49"/>
    <w:basedOn w:val="a"/>
    <w:uiPriority w:val="99"/>
    <w:rsid w:val="000D4EA7"/>
    <w:pPr>
      <w:autoSpaceDE w:val="0"/>
      <w:autoSpaceDN w:val="0"/>
      <w:adjustRightInd w:val="0"/>
      <w:spacing w:line="274" w:lineRule="exact"/>
      <w:ind w:firstLine="566"/>
    </w:pPr>
    <w:rPr>
      <w:sz w:val="24"/>
      <w:szCs w:val="24"/>
    </w:rPr>
  </w:style>
  <w:style w:type="character" w:customStyle="1" w:styleId="11">
    <w:name w:val="Неразрешенное упоминание1"/>
    <w:basedOn w:val="a0"/>
    <w:uiPriority w:val="99"/>
    <w:semiHidden/>
    <w:unhideWhenUsed/>
    <w:rsid w:val="003D03D8"/>
    <w:rPr>
      <w:color w:val="605E5C"/>
      <w:shd w:val="clear" w:color="auto" w:fill="E1DFDD"/>
    </w:rPr>
  </w:style>
  <w:style w:type="character" w:styleId="ac">
    <w:name w:val="FollowedHyperlink"/>
    <w:basedOn w:val="a0"/>
    <w:uiPriority w:val="99"/>
    <w:semiHidden/>
    <w:unhideWhenUsed/>
    <w:rsid w:val="005C108C"/>
    <w:rPr>
      <w:color w:val="954F72" w:themeColor="followedHyperlink"/>
      <w:u w:val="single"/>
    </w:rPr>
  </w:style>
  <w:style w:type="paragraph" w:styleId="ad">
    <w:name w:val="List Paragraph"/>
    <w:basedOn w:val="a"/>
    <w:link w:val="ae"/>
    <w:uiPriority w:val="34"/>
    <w:qFormat/>
    <w:rsid w:val="0083021C"/>
    <w:pPr>
      <w:autoSpaceDE w:val="0"/>
      <w:autoSpaceDN w:val="0"/>
      <w:adjustRightInd w:val="0"/>
      <w:spacing w:line="240" w:lineRule="auto"/>
      <w:ind w:left="720" w:firstLine="0"/>
      <w:contextualSpacing/>
      <w:jc w:val="left"/>
    </w:pPr>
  </w:style>
  <w:style w:type="paragraph" w:styleId="af">
    <w:name w:val="Balloon Text"/>
    <w:basedOn w:val="a"/>
    <w:link w:val="af0"/>
    <w:uiPriority w:val="99"/>
    <w:semiHidden/>
    <w:unhideWhenUsed/>
    <w:rsid w:val="00EC5F1C"/>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C5F1C"/>
    <w:rPr>
      <w:rFonts w:ascii="Segoe UI" w:eastAsia="Times New Roman" w:hAnsi="Segoe UI" w:cs="Segoe UI"/>
      <w:sz w:val="18"/>
      <w:szCs w:val="18"/>
    </w:rPr>
  </w:style>
  <w:style w:type="character" w:customStyle="1" w:styleId="ae">
    <w:name w:val="Абзац списка Знак"/>
    <w:link w:val="ad"/>
    <w:uiPriority w:val="34"/>
    <w:locked/>
    <w:rsid w:val="006339B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gov.ru/new/private/notice/view/689544bf30d201790e3d5389/22000049380000000102" TargetMode="External"/><Relationship Id="rId5" Type="http://schemas.openxmlformats.org/officeDocument/2006/relationships/hyperlink" Target="mailto:info@etpgp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FedorovaNG</dc:creator>
  <cp:keywords/>
  <dc:description/>
  <cp:lastModifiedBy>FedorovaNG</cp:lastModifiedBy>
  <cp:revision>3</cp:revision>
  <cp:lastPrinted>2025-08-12T03:03:00Z</cp:lastPrinted>
  <dcterms:created xsi:type="dcterms:W3CDTF">2025-08-12T03:10:00Z</dcterms:created>
  <dcterms:modified xsi:type="dcterms:W3CDTF">2025-08-12T03:13:00Z</dcterms:modified>
</cp:coreProperties>
</file>